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BE" w:rsidRDefault="00F663BE" w:rsidP="00F663BE">
      <w:pPr>
        <w:pStyle w:val="Body"/>
        <w:jc w:val="center"/>
        <w:rPr>
          <w:rStyle w:val="Hyperlink0"/>
          <w:b/>
        </w:rPr>
      </w:pPr>
    </w:p>
    <w:p w:rsidR="00F663BE" w:rsidRDefault="00F663BE" w:rsidP="00F663BE">
      <w:pPr>
        <w:pStyle w:val="Body"/>
      </w:pPr>
      <w:r>
        <w:t xml:space="preserve">Corr, P. J., Macchia, L., Gerson, J., &amp; Plagnol, A. C (2016). </w:t>
      </w:r>
      <w:proofErr w:type="spellStart"/>
      <w:r>
        <w:t>Brexit</w:t>
      </w:r>
      <w:proofErr w:type="spellEnd"/>
      <w:r>
        <w:t xml:space="preserve"> psychology and personality:</w:t>
      </w:r>
      <w:r>
        <w:t xml:space="preserve"> </w:t>
      </w:r>
      <w:r>
        <w:t>‘Project Fear’ or ‘Project Anxiety’? Unpublished manuscript.</w:t>
      </w:r>
    </w:p>
    <w:p w:rsidR="00F663BE" w:rsidRDefault="00F663BE" w:rsidP="00F663BE">
      <w:pPr>
        <w:pStyle w:val="Body"/>
        <w:rPr>
          <w:rFonts w:eastAsia="Arial Unicode MS"/>
        </w:rPr>
      </w:pPr>
      <w:r>
        <w:rPr>
          <w:rFonts w:eastAsia="Arial Unicode MS"/>
        </w:rPr>
        <w:t>City, University of London</w:t>
      </w:r>
    </w:p>
    <w:p w:rsidR="00F663BE" w:rsidRDefault="00F663BE" w:rsidP="00F663BE">
      <w:pPr>
        <w:pStyle w:val="Body"/>
        <w:rPr>
          <w:rFonts w:eastAsia="Arial Unicode MS"/>
        </w:rPr>
      </w:pPr>
    </w:p>
    <w:p w:rsidR="00F663BE" w:rsidRDefault="00F663BE" w:rsidP="00F663BE">
      <w:pPr>
        <w:pStyle w:val="Body"/>
      </w:pPr>
      <w:r>
        <w:rPr>
          <w:rFonts w:eastAsia="Arial Unicode MS"/>
        </w:rPr>
        <w:t>Corresponding author’s contact details: Philip J. Corr, Department of Psychology, City, University of London, Northampton Square, London, EC1V 0HB. Email: philip.corr.1@city.ac.uk</w:t>
      </w:r>
    </w:p>
    <w:p w:rsidR="00F663BE" w:rsidRDefault="00F663BE" w:rsidP="00F663BE">
      <w:pPr>
        <w:pStyle w:val="Body"/>
        <w:spacing w:line="480" w:lineRule="auto"/>
        <w:jc w:val="center"/>
        <w:rPr>
          <w:rStyle w:val="Hyperlink0"/>
          <w:b/>
        </w:rPr>
      </w:pPr>
    </w:p>
    <w:p w:rsidR="0043606F" w:rsidRPr="00910E21" w:rsidRDefault="00910E21" w:rsidP="00F663BE">
      <w:pPr>
        <w:pStyle w:val="Body"/>
        <w:spacing w:line="480" w:lineRule="auto"/>
        <w:jc w:val="center"/>
        <w:rPr>
          <w:rStyle w:val="Hyperlink0"/>
          <w:b/>
        </w:rPr>
      </w:pPr>
      <w:r w:rsidRPr="00910E21">
        <w:rPr>
          <w:rStyle w:val="Hyperlink0"/>
          <w:b/>
        </w:rPr>
        <w:t>Supplementary Material</w:t>
      </w:r>
    </w:p>
    <w:p w:rsidR="0043606F" w:rsidRPr="00163EE7" w:rsidRDefault="00EB584C" w:rsidP="0043606F">
      <w:pPr>
        <w:pStyle w:val="Body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Personality, </w:t>
      </w:r>
      <w:proofErr w:type="spellStart"/>
      <w:r w:rsidR="0043606F">
        <w:rPr>
          <w:b/>
          <w:bCs/>
        </w:rPr>
        <w:t>Brexit</w:t>
      </w:r>
      <w:proofErr w:type="spellEnd"/>
      <w:r w:rsidR="0043606F">
        <w:rPr>
          <w:b/>
          <w:bCs/>
        </w:rPr>
        <w:t xml:space="preserve"> and </w:t>
      </w:r>
      <w:r w:rsidR="0043606F" w:rsidRPr="001A1859">
        <w:rPr>
          <w:b/>
          <w:bCs/>
        </w:rPr>
        <w:t>Uncertainty</w:t>
      </w:r>
    </w:p>
    <w:p w:rsidR="0043606F" w:rsidRPr="00163EE7" w:rsidRDefault="0043606F" w:rsidP="0043606F">
      <w:pPr>
        <w:pStyle w:val="Body"/>
        <w:spacing w:line="480" w:lineRule="auto"/>
        <w:ind w:firstLine="720"/>
      </w:pPr>
      <w:r w:rsidRPr="001A1859">
        <w:t xml:space="preserve">As pointed out by Bergman and </w:t>
      </w:r>
      <w:proofErr w:type="spellStart"/>
      <w:r w:rsidRPr="001A1859">
        <w:t>Lakhdhir</w:t>
      </w:r>
      <w:proofErr w:type="spellEnd"/>
      <w:r w:rsidRPr="001A1859">
        <w:t xml:space="preserve"> (2016, p. 1), even though there </w:t>
      </w:r>
      <w:r>
        <w:t xml:space="preserve">has been much written about the possible </w:t>
      </w:r>
      <w:r w:rsidRPr="001A1859">
        <w:t xml:space="preserve">consequences of </w:t>
      </w:r>
      <w:proofErr w:type="spellStart"/>
      <w:r w:rsidRPr="001A1859">
        <w:t>Brexit</w:t>
      </w:r>
      <w:proofErr w:type="spellEnd"/>
      <w:r w:rsidRPr="001A1859">
        <w:t xml:space="preserve"> for the economy (e.g., the value of Sterling)</w:t>
      </w:r>
      <w:r w:rsidRPr="00163EE7">
        <w:t>,</w:t>
      </w:r>
      <w:r w:rsidRPr="001A1859">
        <w:t xml:space="preserve"> “There is little consensus among economists on what the impact of the drop in the pound means for the UK economy</w:t>
      </w:r>
      <w:r w:rsidRPr="00163EE7">
        <w:t>”</w:t>
      </w:r>
      <w:r w:rsidRPr="001A1859">
        <w:t xml:space="preserve"> (e.g., driving up the cost of imports and adding to inflation). Indeed, there is much uncertainty: some speculate that a fall in the value of the pound may well be positive by making British exports cheaper and, therefore more attractive to foreign buyers. As Bergman and </w:t>
      </w:r>
      <w:proofErr w:type="spellStart"/>
      <w:r w:rsidRPr="001A1859">
        <w:t>Lakhdhir</w:t>
      </w:r>
      <w:proofErr w:type="spellEnd"/>
      <w:r w:rsidRPr="001A1859">
        <w:t xml:space="preserve"> added, </w:t>
      </w:r>
      <w:r w:rsidRPr="00163EE7">
        <w:t>“</w:t>
      </w:r>
      <w:r w:rsidRPr="001A1859">
        <w:t>No one can know with certainty where any of this is heading</w:t>
      </w:r>
      <w:r w:rsidRPr="00163EE7">
        <w:t>”</w:t>
      </w:r>
      <w:r w:rsidRPr="001A1859">
        <w:t xml:space="preserve"> - indeed, as the</w:t>
      </w:r>
      <w:r>
        <w:t>y</w:t>
      </w:r>
      <w:r w:rsidRPr="001A1859">
        <w:t xml:space="preserve"> went on to </w:t>
      </w:r>
      <w:r>
        <w:t>note</w:t>
      </w:r>
      <w:r w:rsidRPr="001A1859">
        <w:t xml:space="preserve">: </w:t>
      </w:r>
      <w:r w:rsidRPr="00163EE7">
        <w:t>“</w:t>
      </w:r>
      <w:r w:rsidRPr="001A1859">
        <w:t xml:space="preserve">Many of the implications of </w:t>
      </w:r>
      <w:proofErr w:type="spellStart"/>
      <w:r w:rsidRPr="001A1859">
        <w:t>Brexit</w:t>
      </w:r>
      <w:proofErr w:type="spellEnd"/>
      <w:r w:rsidRPr="001A1859">
        <w:t xml:space="preserve"> are in the realm of speculation</w:t>
      </w:r>
      <w:r w:rsidRPr="00163EE7">
        <w:t>”</w:t>
      </w:r>
      <w:r w:rsidRPr="001A1859">
        <w:t xml:space="preserve"> (Bergman &amp; </w:t>
      </w:r>
      <w:proofErr w:type="spellStart"/>
      <w:r w:rsidRPr="001A1859">
        <w:t>Lakhdhir</w:t>
      </w:r>
      <w:proofErr w:type="spellEnd"/>
      <w:r w:rsidRPr="001A1859">
        <w:t xml:space="preserve">, 2016, p. 1). If experts cannot decide on the consequences of </w:t>
      </w:r>
      <w:proofErr w:type="spellStart"/>
      <w:r w:rsidRPr="001A1859">
        <w:t>Brexit</w:t>
      </w:r>
      <w:proofErr w:type="spellEnd"/>
      <w:r w:rsidRPr="001A1859">
        <w:t xml:space="preserve">, how is the Average </w:t>
      </w:r>
      <w:proofErr w:type="gramStart"/>
      <w:r w:rsidRPr="001A1859">
        <w:t>Jo(</w:t>
      </w:r>
      <w:proofErr w:type="spellStart"/>
      <w:proofErr w:type="gramEnd"/>
      <w:r w:rsidRPr="001A1859">
        <w:t>anne</w:t>
      </w:r>
      <w:proofErr w:type="spellEnd"/>
      <w:r w:rsidRPr="001A1859">
        <w:t>) to make sense of (invariably complex) economic phenomena and uncertainty</w:t>
      </w:r>
      <w:r>
        <w:t xml:space="preserve">. </w:t>
      </w:r>
      <w:r w:rsidRPr="001A1859">
        <w:t xml:space="preserve">It may be for this reason that, as asserted </w:t>
      </w:r>
      <w:r w:rsidRPr="00556F5A">
        <w:t xml:space="preserve">in the ESRC’s journal, </w:t>
      </w:r>
      <w:r w:rsidRPr="00FD3DE7">
        <w:rPr>
          <w:i/>
        </w:rPr>
        <w:t>Society Now</w:t>
      </w:r>
      <w:r w:rsidRPr="001B7B5F">
        <w:t>,</w:t>
      </w:r>
      <w:r w:rsidRPr="00163EE7">
        <w:t xml:space="preserve"> during the campaign there was an “explicit rejection of expert advice” and an apparent eschewal of “data”, “facts” and “research” (Flinders 2016, p.15).</w:t>
      </w:r>
      <w:r>
        <w:t xml:space="preserve"> It is no coincidence that the Oxford Dictionaries Word of the Year 2016 is </w:t>
      </w:r>
      <w:r>
        <w:rPr>
          <w:rStyle w:val="Emphasis"/>
        </w:rPr>
        <w:t xml:space="preserve">post-truth, which “refers </w:t>
      </w:r>
      <w:r>
        <w:t>to circumstances in which objective facts are less influential in shaping public opinion than appeals to emotion and personal belief” (Oxford Dictionaries, 2016).</w:t>
      </w:r>
    </w:p>
    <w:p w:rsidR="0043606F" w:rsidRPr="00C77158" w:rsidRDefault="0043606F" w:rsidP="0043606F">
      <w:pPr>
        <w:pStyle w:val="Body"/>
        <w:spacing w:line="480" w:lineRule="auto"/>
        <w:ind w:firstLine="720"/>
      </w:pPr>
      <w:r w:rsidRPr="00900C7D">
        <w:t xml:space="preserve">Given that the </w:t>
      </w:r>
      <w:r>
        <w:t>r</w:t>
      </w:r>
      <w:r w:rsidRPr="00900C7D">
        <w:t xml:space="preserve">eferendum vote was emotionally, as well as intellectually, challenging, it might be supposed that measures of personality would exert </w:t>
      </w:r>
      <w:r w:rsidRPr="0010611B">
        <w:rPr>
          <w:i/>
        </w:rPr>
        <w:t>some</w:t>
      </w:r>
      <w:r w:rsidRPr="00900C7D">
        <w:t xml:space="preserve"> influence. In support of </w:t>
      </w:r>
      <w:r w:rsidRPr="00900C7D">
        <w:lastRenderedPageBreak/>
        <w:t xml:space="preserve">this notion, writing in </w:t>
      </w:r>
      <w:r w:rsidRPr="00900C7D">
        <w:rPr>
          <w:i/>
          <w:iCs/>
        </w:rPr>
        <w:t>The Guardian</w:t>
      </w:r>
      <w:r w:rsidRPr="00900C7D">
        <w:t xml:space="preserve">, Molly Crockett (2016), a neuroscientist at Oxford University, noted that part of the decision to </w:t>
      </w:r>
      <w:proofErr w:type="gramStart"/>
      <w:r w:rsidRPr="00900C7D">
        <w:t>Leave</w:t>
      </w:r>
      <w:proofErr w:type="gramEnd"/>
      <w:r w:rsidRPr="00900C7D">
        <w:t xml:space="preserve"> was a desire to express frustration, reflecting economic self-interest, but upon sober reflection, </w:t>
      </w:r>
      <w:r w:rsidRPr="00163EE7">
        <w:t>“</w:t>
      </w:r>
      <w:r w:rsidRPr="00900C7D">
        <w:t xml:space="preserve">Sadly, some Leave voters are now regretting their decisions. While the emotional benefits of self-expression are immediate, they may be short-lived; meanwhile, the economic and social costs of </w:t>
      </w:r>
      <w:proofErr w:type="spellStart"/>
      <w:r w:rsidRPr="00900C7D">
        <w:t>Brexit</w:t>
      </w:r>
      <w:proofErr w:type="spellEnd"/>
      <w:r w:rsidRPr="00900C7D">
        <w:t xml:space="preserve"> will be felt for generations to come</w:t>
      </w:r>
      <w:r w:rsidRPr="00163EE7">
        <w:t>”</w:t>
      </w:r>
      <w:r w:rsidRPr="00900C7D">
        <w:t xml:space="preserve">. This view suggests that Leave voters were angry, frustrated and lacking in self-control, seemingly confirming the old adage, </w:t>
      </w:r>
      <w:r w:rsidRPr="00163EE7">
        <w:t>“</w:t>
      </w:r>
      <w:r w:rsidRPr="00900C7D">
        <w:t xml:space="preserve">Marry </w:t>
      </w:r>
      <w:r w:rsidRPr="00163EE7">
        <w:t xml:space="preserve">– </w:t>
      </w:r>
      <w:r w:rsidRPr="00900C7D">
        <w:t xml:space="preserve">or in this case, divorce </w:t>
      </w:r>
      <w:r w:rsidRPr="00163EE7">
        <w:t xml:space="preserve">– </w:t>
      </w:r>
      <w:r w:rsidRPr="00900C7D">
        <w:t>in haste, repent at leisure</w:t>
      </w:r>
      <w:r w:rsidRPr="00163EE7">
        <w:t>”.</w:t>
      </w:r>
      <w:r w:rsidRPr="001A1859">
        <w:t xml:space="preserve"> It is thus possible that, upon sober reflection, a second </w:t>
      </w:r>
      <w:r w:rsidRPr="00C77158">
        <w:t>referendum vote would have a different</w:t>
      </w:r>
      <w:r w:rsidR="00C77158" w:rsidRPr="00C77158">
        <w:t xml:space="preserve"> outcome.</w:t>
      </w:r>
    </w:p>
    <w:p w:rsidR="00C77158" w:rsidRPr="00C77158" w:rsidRDefault="00C77158" w:rsidP="00C771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7158">
        <w:rPr>
          <w:rFonts w:ascii="Times New Roman" w:hAnsi="Times New Roman" w:cs="Times New Roman"/>
          <w:sz w:val="24"/>
          <w:szCs w:val="24"/>
        </w:rPr>
        <w:t xml:space="preserve">In our sample, very few respondents changed their voting preference suggesting that post-vote regret is not a major factor – indeed, more stated they would move from Remain to </w:t>
      </w:r>
      <w:proofErr w:type="gramStart"/>
      <w:r w:rsidRPr="00C77158">
        <w:rPr>
          <w:rFonts w:ascii="Times New Roman" w:hAnsi="Times New Roman" w:cs="Times New Roman"/>
          <w:sz w:val="24"/>
          <w:szCs w:val="24"/>
        </w:rPr>
        <w:t>Leave</w:t>
      </w:r>
      <w:proofErr w:type="gramEnd"/>
      <w:r w:rsidRPr="00C77158">
        <w:rPr>
          <w:rFonts w:ascii="Times New Roman" w:hAnsi="Times New Roman" w:cs="Times New Roman"/>
          <w:sz w:val="24"/>
          <w:szCs w:val="24"/>
        </w:rPr>
        <w:t xml:space="preserve"> than vice versa.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158">
        <w:rPr>
          <w:rFonts w:ascii="Times New Roman" w:hAnsi="Times New Roman" w:cs="Times New Roman"/>
          <w:sz w:val="24"/>
          <w:szCs w:val="24"/>
        </w:rPr>
        <w:t xml:space="preserve">This finding challenges the type of views expressed by Crockett (2016; see Introduction) that Leave voters should regret their act of short-term gratification and relief of frustration – of course, with more time and the unfolding of economic and political events, this could still happen. In any event, we found no evidence of this psychological reaction in our data. </w:t>
      </w:r>
    </w:p>
    <w:p w:rsidR="008E2417" w:rsidRPr="0010611B" w:rsidRDefault="008E2417" w:rsidP="008E2417">
      <w:pPr>
        <w:pStyle w:val="Body"/>
        <w:spacing w:line="480" w:lineRule="auto"/>
        <w:ind w:firstLine="720"/>
        <w:rPr>
          <w:b/>
          <w:bCs/>
          <w:i/>
          <w:iCs/>
        </w:rPr>
      </w:pPr>
      <w:r w:rsidRPr="0010611B">
        <w:rPr>
          <w:b/>
          <w:bCs/>
          <w:i/>
          <w:iCs/>
        </w:rPr>
        <w:t>Loss aversion and regret</w:t>
      </w:r>
    </w:p>
    <w:p w:rsidR="00EB584C" w:rsidRPr="00F663BE" w:rsidRDefault="008E2417" w:rsidP="00F663BE">
      <w:pPr>
        <w:pStyle w:val="Body"/>
        <w:spacing w:line="480" w:lineRule="auto"/>
        <w:ind w:firstLine="720"/>
      </w:pPr>
      <w:r w:rsidRPr="001A1859">
        <w:t xml:space="preserve">Behavioural economics suggests that people have definite preferences which should be expected to influence </w:t>
      </w:r>
      <w:proofErr w:type="spellStart"/>
      <w:r w:rsidRPr="001A1859">
        <w:t>Brexit</w:t>
      </w:r>
      <w:proofErr w:type="spellEnd"/>
      <w:r w:rsidRPr="001A1859">
        <w:t xml:space="preserve">-related feelings, cognitions and behaviour (Corr, 2016). </w:t>
      </w:r>
      <w:r>
        <w:t>For example, p</w:t>
      </w:r>
      <w:r w:rsidRPr="001A1859">
        <w:t>eople tend to be loss averse, especially when the potential loss is made salient (Walasek &amp; Stewart, 2015)</w:t>
      </w:r>
      <w:r>
        <w:t>,</w:t>
      </w:r>
      <w:r w:rsidRPr="001A1859">
        <w:t xml:space="preserve"> which means that they are more attentive and emotionally reactive to potential losses than gains of the same magnitude. Loss aversion is related to the </w:t>
      </w:r>
      <w:r w:rsidRPr="00163EE7">
        <w:t>‘</w:t>
      </w:r>
      <w:r w:rsidRPr="001A1859">
        <w:t>endowment effect</w:t>
      </w:r>
      <w:r w:rsidRPr="00163EE7">
        <w:t>’</w:t>
      </w:r>
      <w:r w:rsidRPr="001A1859">
        <w:t xml:space="preserve"> – people value things they </w:t>
      </w:r>
      <w:r w:rsidRPr="00163EE7">
        <w:t xml:space="preserve">‘own’ </w:t>
      </w:r>
      <w:r w:rsidRPr="001A1859">
        <w:t xml:space="preserve">more than things they do not (this was famously shown in the coffee cup experiment; </w:t>
      </w:r>
      <w:proofErr w:type="spellStart"/>
      <w:r w:rsidRPr="00163EE7">
        <w:rPr>
          <w:rFonts w:eastAsia="Arial Unicode MS"/>
        </w:rPr>
        <w:t>Kahneman</w:t>
      </w:r>
      <w:proofErr w:type="spellEnd"/>
      <w:r w:rsidRPr="00163EE7">
        <w:rPr>
          <w:rFonts w:eastAsia="Arial Unicode MS"/>
        </w:rPr>
        <w:t xml:space="preserve">, </w:t>
      </w:r>
      <w:proofErr w:type="spellStart"/>
      <w:r w:rsidRPr="00163EE7">
        <w:rPr>
          <w:rFonts w:eastAsia="Arial Unicode MS"/>
        </w:rPr>
        <w:t>Knetsch</w:t>
      </w:r>
      <w:proofErr w:type="spellEnd"/>
      <w:r w:rsidRPr="00163EE7">
        <w:rPr>
          <w:rFonts w:eastAsia="Arial Unicode MS"/>
        </w:rPr>
        <w:t xml:space="preserve">, &amp; </w:t>
      </w:r>
      <w:proofErr w:type="spellStart"/>
      <w:r w:rsidRPr="00163EE7">
        <w:rPr>
          <w:rFonts w:eastAsia="Arial Unicode MS"/>
        </w:rPr>
        <w:t>Thaler</w:t>
      </w:r>
      <w:proofErr w:type="spellEnd"/>
      <w:r w:rsidRPr="00163EE7">
        <w:rPr>
          <w:rFonts w:eastAsia="Arial Unicode MS"/>
        </w:rPr>
        <w:t>, 1990).</w:t>
      </w:r>
      <w:r w:rsidRPr="001A1859">
        <w:t xml:space="preserve"> Therefore, if people believe that they receive benefits from EU membership then, </w:t>
      </w:r>
      <w:r w:rsidRPr="001A1859">
        <w:lastRenderedPageBreak/>
        <w:t>psychologically speaking, they should be hard pressed to let them go. Related behavioural economic notions are ambiguity/uncertainty aversion, and more generally risk aversion</w:t>
      </w:r>
      <w:r>
        <w:t>; and status quo bias may be added to this list</w:t>
      </w:r>
      <w:r w:rsidRPr="001A1859">
        <w:t>.</w:t>
      </w:r>
    </w:p>
    <w:p w:rsidR="00D94C9D" w:rsidRPr="0010611B" w:rsidRDefault="00D94C9D" w:rsidP="00D94C9D">
      <w:pPr>
        <w:pStyle w:val="Body"/>
        <w:spacing w:line="480" w:lineRule="auto"/>
        <w:ind w:firstLine="720"/>
        <w:rPr>
          <w:b/>
          <w:i/>
        </w:rPr>
      </w:pPr>
      <w:r w:rsidRPr="0010611B">
        <w:rPr>
          <w:b/>
          <w:i/>
        </w:rPr>
        <w:t>Fear and anxiety</w:t>
      </w:r>
    </w:p>
    <w:p w:rsidR="00D94C9D" w:rsidRPr="00175BF4" w:rsidRDefault="00D94C9D" w:rsidP="002F7C92">
      <w:pPr>
        <w:pStyle w:val="Body"/>
        <w:spacing w:line="480" w:lineRule="auto"/>
        <w:ind w:firstLine="720"/>
        <w:rPr>
          <w:rStyle w:val="Hyperlink0"/>
          <w:lang w:val="en-GB"/>
        </w:rPr>
      </w:pPr>
      <w:r w:rsidRPr="001A1859">
        <w:t xml:space="preserve">There are </w:t>
      </w:r>
      <w:r>
        <w:t xml:space="preserve">also </w:t>
      </w:r>
      <w:r w:rsidRPr="001A1859">
        <w:t xml:space="preserve">possible evolutionary factors relating to </w:t>
      </w:r>
      <w:proofErr w:type="spellStart"/>
      <w:r w:rsidRPr="001A1859">
        <w:t>Brexit</w:t>
      </w:r>
      <w:proofErr w:type="spellEnd"/>
      <w:r w:rsidRPr="001A1859">
        <w:t xml:space="preserve"> (Carney, 2016), especially re</w:t>
      </w:r>
      <w:r>
        <w:t>garding</w:t>
      </w:r>
      <w:r w:rsidRPr="001A1859">
        <w:t xml:space="preserve"> fear and anxiety of the unknown. Fear was deemed to be important in the </w:t>
      </w:r>
      <w:proofErr w:type="spellStart"/>
      <w:r w:rsidRPr="001A1859">
        <w:t>Brexit</w:t>
      </w:r>
      <w:proofErr w:type="spellEnd"/>
      <w:r w:rsidRPr="001A1859">
        <w:t xml:space="preserve"> debate (the term </w:t>
      </w:r>
      <w:r w:rsidRPr="00163EE7">
        <w:t>“</w:t>
      </w:r>
      <w:r w:rsidRPr="001A1859">
        <w:t>Project Fear</w:t>
      </w:r>
      <w:r w:rsidRPr="00163EE7">
        <w:t>”</w:t>
      </w:r>
      <w:r w:rsidRPr="001A1859">
        <w:t xml:space="preserve"> was coined by Leave campaigners to denote the alleged scaremongering by the Remain camp</w:t>
      </w:r>
      <w:r w:rsidRPr="00900C7D">
        <w:t xml:space="preserve">), and its psychological salience was </w:t>
      </w:r>
      <w:r>
        <w:t xml:space="preserve">not </w:t>
      </w:r>
      <w:r w:rsidRPr="00900C7D">
        <w:t>lost on politic</w:t>
      </w:r>
      <w:r>
        <w:t>al campaigners.</w:t>
      </w:r>
      <w:r w:rsidRPr="00900C7D">
        <w:t xml:space="preserve"> The former British Prime Minister, David Cameron, who was compelled to fall on his </w:t>
      </w:r>
      <w:r w:rsidRPr="00900C7D">
        <w:rPr>
          <w:lang w:val="en-US"/>
        </w:rPr>
        <w:t xml:space="preserve">own </w:t>
      </w:r>
      <w:proofErr w:type="spellStart"/>
      <w:r w:rsidRPr="00900C7D">
        <w:rPr>
          <w:lang w:val="en-US"/>
        </w:rPr>
        <w:t>Brexit</w:t>
      </w:r>
      <w:proofErr w:type="spellEnd"/>
      <w:r w:rsidRPr="00900C7D">
        <w:rPr>
          <w:lang w:val="en-US"/>
        </w:rPr>
        <w:t xml:space="preserve"> sword</w:t>
      </w:r>
      <w:r>
        <w:rPr>
          <w:lang w:val="en-US"/>
        </w:rPr>
        <w:t>,</w:t>
      </w:r>
      <w:r w:rsidRPr="00900C7D">
        <w:rPr>
          <w:lang w:val="en-US"/>
        </w:rPr>
        <w:t xml:space="preserve"> had this to say on the BBC </w:t>
      </w:r>
      <w:hyperlink r:id="rId4" w:history="1">
        <w:r w:rsidRPr="001A1859">
          <w:rPr>
            <w:rStyle w:val="Hyperlink0"/>
          </w:rPr>
          <w:t>Andrew Marr show</w:t>
        </w:r>
      </w:hyperlink>
      <w:r w:rsidRPr="001A1859">
        <w:rPr>
          <w:rStyle w:val="Hyperlink0"/>
        </w:rPr>
        <w:t xml:space="preserve"> (21 February, 2016): </w:t>
      </w:r>
      <w:r w:rsidRPr="001A1859">
        <w:rPr>
          <w:rStyle w:val="None"/>
        </w:rPr>
        <w:t xml:space="preserve">“we will be safer, we will be stronger, we will be better off inside the EU” and “taking a leap into the dark is the wrong step for our country”. Recognising this threat to his Leave campaign, Boris Johnson quoted his fellow countryman, </w:t>
      </w:r>
      <w:r w:rsidRPr="001A1859">
        <w:rPr>
          <w:rStyle w:val="Hyperlink0"/>
        </w:rPr>
        <w:t>Franklin D. Roosevelt</w:t>
      </w:r>
      <w:r w:rsidRPr="001A1859">
        <w:rPr>
          <w:rStyle w:val="None"/>
        </w:rPr>
        <w:t>: “I think the only thing we have to fear is fear itself”</w:t>
      </w:r>
      <w:r>
        <w:rPr>
          <w:rStyle w:val="None"/>
        </w:rPr>
        <w:t xml:space="preserve"> (</w:t>
      </w:r>
      <w:proofErr w:type="spellStart"/>
      <w:r>
        <w:rPr>
          <w:rStyle w:val="None"/>
        </w:rPr>
        <w:t>Heffer</w:t>
      </w:r>
      <w:proofErr w:type="spellEnd"/>
      <w:r>
        <w:rPr>
          <w:rStyle w:val="None"/>
        </w:rPr>
        <w:t>, 2016)</w:t>
      </w:r>
      <w:r w:rsidRPr="001A1859">
        <w:rPr>
          <w:rStyle w:val="None"/>
        </w:rPr>
        <w:t>.</w:t>
      </w:r>
    </w:p>
    <w:p w:rsidR="00910E21" w:rsidRPr="0043606F" w:rsidRDefault="007D5B30" w:rsidP="0043606F">
      <w:pPr>
        <w:pStyle w:val="Body"/>
        <w:spacing w:line="480" w:lineRule="auto"/>
        <w:jc w:val="center"/>
        <w:rPr>
          <w:rStyle w:val="Hyperlink0"/>
          <w:b/>
        </w:rPr>
      </w:pPr>
      <w:r>
        <w:rPr>
          <w:rStyle w:val="Hyperlink0"/>
          <w:b/>
        </w:rPr>
        <w:t>Separate Analysis for Remain and Leave V</w:t>
      </w:r>
      <w:r w:rsidR="00910E21" w:rsidRPr="0043606F">
        <w:rPr>
          <w:rStyle w:val="Hyperlink0"/>
          <w:b/>
        </w:rPr>
        <w:t>oters</w:t>
      </w:r>
    </w:p>
    <w:p w:rsidR="00910E21" w:rsidRPr="00054C83" w:rsidRDefault="00910E21" w:rsidP="00910E21">
      <w:pPr>
        <w:pStyle w:val="Body"/>
        <w:spacing w:line="480" w:lineRule="auto"/>
        <w:ind w:firstLine="720"/>
        <w:rPr>
          <w:rStyle w:val="Hyperlink0"/>
        </w:rPr>
      </w:pPr>
      <w:r w:rsidRPr="0026363D">
        <w:rPr>
          <w:rStyle w:val="Hyperlink0"/>
        </w:rPr>
        <w:t>Repeating the above analysis separately for Remain and Leave voters revealed a more detailed picture</w:t>
      </w:r>
      <w:r w:rsidRPr="00054C83">
        <w:rPr>
          <w:rStyle w:val="Hyperlink0"/>
        </w:rPr>
        <w:t xml:space="preserve">. </w:t>
      </w:r>
    </w:p>
    <w:p w:rsidR="00910E21" w:rsidRDefault="00910E21" w:rsidP="00910E21">
      <w:pPr>
        <w:pStyle w:val="Body"/>
        <w:spacing w:line="480" w:lineRule="auto"/>
        <w:ind w:firstLine="720"/>
        <w:rPr>
          <w:rStyle w:val="Hyperlink0"/>
        </w:rPr>
      </w:pPr>
      <w:r w:rsidRPr="00CD69A3">
        <w:rPr>
          <w:rStyle w:val="Hyperlink0"/>
        </w:rPr>
        <w:t xml:space="preserve">In the Remain camp, </w:t>
      </w:r>
      <w:r>
        <w:rPr>
          <w:rStyle w:val="Hyperlink0"/>
        </w:rPr>
        <w:t xml:space="preserve">Step 1 model was non-significant, </w:t>
      </w:r>
      <w:proofErr w:type="gramStart"/>
      <w:r>
        <w:rPr>
          <w:rStyle w:val="Hyperlink0"/>
        </w:rPr>
        <w:t>F(</w:t>
      </w:r>
      <w:proofErr w:type="gramEnd"/>
      <w:r>
        <w:rPr>
          <w:rStyle w:val="Hyperlink0"/>
        </w:rPr>
        <w:t xml:space="preserve">4,128) = 1.61, </w:t>
      </w:r>
      <w:r w:rsidRPr="008F584F">
        <w:rPr>
          <w:rStyle w:val="Hyperlink0"/>
          <w:i/>
        </w:rPr>
        <w:t>p</w:t>
      </w:r>
      <w:r>
        <w:rPr>
          <w:rStyle w:val="Hyperlink0"/>
        </w:rPr>
        <w:t xml:space="preserve"> &gt; .10, but one variable was significant: Qualification (</w:t>
      </w:r>
      <w:r w:rsidRPr="009B559F">
        <w:rPr>
          <w:rStyle w:val="Hyperlink0"/>
        </w:rPr>
        <w:t>β</w:t>
      </w:r>
      <w:r>
        <w:rPr>
          <w:rStyle w:val="Hyperlink0"/>
        </w:rPr>
        <w:t xml:space="preserve"> = -.26</w:t>
      </w:r>
      <w:r w:rsidRPr="00B5693C">
        <w:rPr>
          <w:rStyle w:val="Hyperlink0"/>
        </w:rPr>
        <w:t>,</w:t>
      </w:r>
      <w:r w:rsidRPr="000227C5">
        <w:rPr>
          <w:rStyle w:val="Hyperlink0"/>
          <w:i/>
        </w:rPr>
        <w:t xml:space="preserve"> p</w:t>
      </w:r>
      <w:r w:rsidRPr="00900C7D">
        <w:rPr>
          <w:rStyle w:val="Hyperlink0"/>
        </w:rPr>
        <w:t xml:space="preserve"> &lt;.05</w:t>
      </w:r>
      <w:r>
        <w:rPr>
          <w:rStyle w:val="Hyperlink0"/>
        </w:rPr>
        <w:t xml:space="preserve">), indicating that the higher qualified respondents were less satisfied with referendum outcome. The Step 2, </w:t>
      </w:r>
      <w:proofErr w:type="gramStart"/>
      <w:r>
        <w:rPr>
          <w:rStyle w:val="Hyperlink0"/>
        </w:rPr>
        <w:t>F(</w:t>
      </w:r>
      <w:proofErr w:type="gramEnd"/>
      <w:r>
        <w:rPr>
          <w:rStyle w:val="Hyperlink0"/>
        </w:rPr>
        <w:t xml:space="preserve">11,121) = 1.06, </w:t>
      </w:r>
      <w:r w:rsidRPr="00507EA9">
        <w:rPr>
          <w:rStyle w:val="Hyperlink0"/>
          <w:i/>
        </w:rPr>
        <w:t>p</w:t>
      </w:r>
      <w:r>
        <w:rPr>
          <w:rStyle w:val="Hyperlink0"/>
        </w:rPr>
        <w:t xml:space="preserve"> &gt; .10, was non-significant with no additional variables being significant over and above Qualification (</w:t>
      </w:r>
      <w:r w:rsidRPr="009B559F">
        <w:rPr>
          <w:rStyle w:val="Hyperlink0"/>
        </w:rPr>
        <w:t>β</w:t>
      </w:r>
      <w:r>
        <w:rPr>
          <w:rStyle w:val="Hyperlink0"/>
        </w:rPr>
        <w:t xml:space="preserve"> = -.22</w:t>
      </w:r>
      <w:r w:rsidRPr="00B5693C">
        <w:rPr>
          <w:rStyle w:val="Hyperlink0"/>
        </w:rPr>
        <w:t>,</w:t>
      </w:r>
      <w:r w:rsidRPr="000227C5">
        <w:rPr>
          <w:rStyle w:val="Hyperlink0"/>
          <w:i/>
        </w:rPr>
        <w:t xml:space="preserve"> p</w:t>
      </w:r>
      <w:r w:rsidRPr="00900C7D">
        <w:rPr>
          <w:rStyle w:val="Hyperlink0"/>
        </w:rPr>
        <w:t xml:space="preserve"> &lt;.05</w:t>
      </w:r>
      <w:r>
        <w:rPr>
          <w:rStyle w:val="Hyperlink0"/>
        </w:rPr>
        <w:t>).</w:t>
      </w:r>
    </w:p>
    <w:p w:rsidR="007D5B30" w:rsidRPr="00F663BE" w:rsidRDefault="00910E21" w:rsidP="00910E21">
      <w:pPr>
        <w:pStyle w:val="Body"/>
        <w:spacing w:line="480" w:lineRule="auto"/>
        <w:rPr>
          <w:rStyle w:val="Hyperlink0"/>
        </w:rPr>
      </w:pPr>
      <w:r>
        <w:rPr>
          <w:rStyle w:val="Hyperlink0"/>
        </w:rPr>
        <w:tab/>
        <w:t xml:space="preserve">For </w:t>
      </w:r>
      <w:r w:rsidRPr="007437F5">
        <w:rPr>
          <w:rStyle w:val="Hyperlink0"/>
        </w:rPr>
        <w:t>those in the Leave camp,</w:t>
      </w:r>
      <w:r w:rsidRPr="00A90237">
        <w:rPr>
          <w:rStyle w:val="Hyperlink0"/>
        </w:rPr>
        <w:t xml:space="preserve"> </w:t>
      </w:r>
      <w:r>
        <w:rPr>
          <w:rStyle w:val="Hyperlink0"/>
        </w:rPr>
        <w:t xml:space="preserve">Step 1 model was close to significance, </w:t>
      </w:r>
      <w:proofErr w:type="gramStart"/>
      <w:r>
        <w:rPr>
          <w:rStyle w:val="Hyperlink0"/>
        </w:rPr>
        <w:t>F(</w:t>
      </w:r>
      <w:proofErr w:type="gramEnd"/>
      <w:r>
        <w:rPr>
          <w:rStyle w:val="Hyperlink0"/>
        </w:rPr>
        <w:t xml:space="preserve">4,79) = 2.12, </w:t>
      </w:r>
      <w:r w:rsidRPr="00507EA9">
        <w:rPr>
          <w:rStyle w:val="Hyperlink0"/>
          <w:i/>
        </w:rPr>
        <w:t>p</w:t>
      </w:r>
      <w:r>
        <w:rPr>
          <w:rStyle w:val="Hyperlink0"/>
        </w:rPr>
        <w:t xml:space="preserve"> = .08, and one predictor variable was significant: Age (</w:t>
      </w:r>
      <w:r w:rsidRPr="009B559F">
        <w:rPr>
          <w:rStyle w:val="Hyperlink0"/>
        </w:rPr>
        <w:t>β</w:t>
      </w:r>
      <w:r>
        <w:rPr>
          <w:rStyle w:val="Hyperlink0"/>
        </w:rPr>
        <w:t xml:space="preserve"> = .25</w:t>
      </w:r>
      <w:r w:rsidRPr="00B5693C">
        <w:rPr>
          <w:rStyle w:val="Hyperlink0"/>
        </w:rPr>
        <w:t>,</w:t>
      </w:r>
      <w:r w:rsidRPr="000227C5">
        <w:rPr>
          <w:rStyle w:val="Hyperlink0"/>
          <w:i/>
        </w:rPr>
        <w:t xml:space="preserve"> p</w:t>
      </w:r>
      <w:r w:rsidRPr="00900C7D">
        <w:rPr>
          <w:rStyle w:val="Hyperlink0"/>
        </w:rPr>
        <w:t xml:space="preserve"> &lt;.05</w:t>
      </w:r>
      <w:r>
        <w:rPr>
          <w:rStyle w:val="Hyperlink0"/>
        </w:rPr>
        <w:t xml:space="preserve">) – in addition, Income </w:t>
      </w:r>
      <w:proofErr w:type="spellStart"/>
      <w:r>
        <w:rPr>
          <w:rStyle w:val="Hyperlink0"/>
        </w:rPr>
        <w:t>Comfortability</w:t>
      </w:r>
      <w:proofErr w:type="spellEnd"/>
      <w:r>
        <w:rPr>
          <w:rStyle w:val="Hyperlink0"/>
        </w:rPr>
        <w:t xml:space="preserve"> was close to significance (</w:t>
      </w:r>
      <w:r w:rsidRPr="009B559F">
        <w:rPr>
          <w:rStyle w:val="Hyperlink0"/>
        </w:rPr>
        <w:t>β</w:t>
      </w:r>
      <w:r>
        <w:rPr>
          <w:rStyle w:val="Hyperlink0"/>
        </w:rPr>
        <w:t xml:space="preserve"> = .18</w:t>
      </w:r>
      <w:r w:rsidRPr="00B5693C">
        <w:rPr>
          <w:rStyle w:val="Hyperlink0"/>
        </w:rPr>
        <w:t>,</w:t>
      </w:r>
      <w:r w:rsidRPr="000227C5">
        <w:rPr>
          <w:rStyle w:val="Hyperlink0"/>
          <w:i/>
        </w:rPr>
        <w:t xml:space="preserve"> p</w:t>
      </w:r>
      <w:r>
        <w:rPr>
          <w:rStyle w:val="Hyperlink0"/>
        </w:rPr>
        <w:t xml:space="preserve"> =.09). These findings indicated </w:t>
      </w:r>
      <w:r>
        <w:rPr>
          <w:rStyle w:val="Hyperlink0"/>
        </w:rPr>
        <w:lastRenderedPageBreak/>
        <w:t xml:space="preserve">that, among those with the political preference to leave the EU, satisfaction was higher among older people and those who felt more comfortable with their income. The Step 2 </w:t>
      </w:r>
      <w:r w:rsidRPr="002F7C92">
        <w:rPr>
          <w:rStyle w:val="Hyperlink0"/>
        </w:rPr>
        <w:t xml:space="preserve">model was non-significant, </w:t>
      </w:r>
      <w:proofErr w:type="gramStart"/>
      <w:r w:rsidRPr="002F7C92">
        <w:rPr>
          <w:rStyle w:val="Hyperlink0"/>
        </w:rPr>
        <w:t>F(</w:t>
      </w:r>
      <w:proofErr w:type="gramEnd"/>
      <w:r w:rsidRPr="002F7C92">
        <w:rPr>
          <w:rStyle w:val="Hyperlink0"/>
        </w:rPr>
        <w:t xml:space="preserve">11,72) = 1.26, </w:t>
      </w:r>
      <w:r w:rsidRPr="002F7C92">
        <w:rPr>
          <w:rStyle w:val="Hyperlink0"/>
          <w:i/>
        </w:rPr>
        <w:t>p</w:t>
      </w:r>
      <w:r w:rsidRPr="002F7C92">
        <w:rPr>
          <w:rStyle w:val="Hyperlink0"/>
        </w:rPr>
        <w:t xml:space="preserve"> &gt; .10, but Age  (β = .28,</w:t>
      </w:r>
      <w:r w:rsidRPr="002F7C92">
        <w:rPr>
          <w:rStyle w:val="Hyperlink0"/>
          <w:i/>
        </w:rPr>
        <w:t xml:space="preserve"> p</w:t>
      </w:r>
      <w:r w:rsidRPr="002F7C92">
        <w:rPr>
          <w:rStyle w:val="Hyperlink0"/>
        </w:rPr>
        <w:t xml:space="preserve"> &lt;.05) retained its significance – Income </w:t>
      </w:r>
      <w:proofErr w:type="spellStart"/>
      <w:r w:rsidRPr="002F7C92">
        <w:rPr>
          <w:rStyle w:val="Hyperlink0"/>
        </w:rPr>
        <w:t>Comfortability</w:t>
      </w:r>
      <w:proofErr w:type="spellEnd"/>
      <w:r w:rsidRPr="002F7C92">
        <w:rPr>
          <w:rStyle w:val="Hyperlink0"/>
        </w:rPr>
        <w:t xml:space="preserve"> was not even close to significance.</w:t>
      </w:r>
    </w:p>
    <w:p w:rsidR="0033471E" w:rsidRDefault="002F7C92" w:rsidP="002F7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C9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F7C92" w:rsidRDefault="002F7C92" w:rsidP="002F7C92">
      <w:pPr>
        <w:pStyle w:val="Default"/>
        <w:spacing w:line="480" w:lineRule="auto"/>
        <w:rPr>
          <w:rStyle w:val="None"/>
          <w:rFonts w:ascii="Times New Roman" w:hAnsi="Times New Roman" w:cs="Times New Roman"/>
          <w:sz w:val="24"/>
          <w:szCs w:val="24"/>
          <w:lang w:val="en-GB"/>
        </w:rPr>
      </w:pP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Bergman, M.</w:t>
      </w:r>
      <w:r>
        <w:rPr>
          <w:rStyle w:val="None"/>
          <w:rFonts w:ascii="Times New Roman" w:hAnsi="Times New Roman" w:cs="Times New Roman"/>
          <w:sz w:val="24"/>
          <w:szCs w:val="24"/>
          <w:lang w:val="en-GB"/>
        </w:rPr>
        <w:t>,</w:t>
      </w: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Lakhdhir</w:t>
      </w:r>
      <w:proofErr w:type="spellEnd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, D. (2016). </w:t>
      </w:r>
      <w:proofErr w:type="spellStart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Brexit</w:t>
      </w:r>
      <w:proofErr w:type="spellEnd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: Disclosure implications for SEC reporting </w:t>
      </w:r>
    </w:p>
    <w:p w:rsidR="002F7C92" w:rsidRDefault="002F7C92" w:rsidP="002F7C92">
      <w:pPr>
        <w:pStyle w:val="Default"/>
        <w:spacing w:line="480" w:lineRule="auto"/>
        <w:ind w:firstLine="720"/>
        <w:rPr>
          <w:rStyle w:val="None"/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companies</w:t>
      </w:r>
      <w:proofErr w:type="gramEnd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25100">
        <w:rPr>
          <w:rStyle w:val="None"/>
          <w:rFonts w:ascii="Times New Roman" w:hAnsi="Times New Roman" w:cs="Times New Roman"/>
          <w:i/>
          <w:iCs/>
          <w:sz w:val="24"/>
          <w:szCs w:val="24"/>
          <w:lang w:val="en-GB"/>
        </w:rPr>
        <w:t>Corporate Governance Advisor</w:t>
      </w: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25100">
        <w:rPr>
          <w:rStyle w:val="None"/>
          <w:rFonts w:ascii="Times New Roman" w:hAnsi="Times New Roman" w:cs="Times New Roman"/>
          <w:i/>
          <w:iCs/>
          <w:sz w:val="24"/>
          <w:szCs w:val="24"/>
          <w:lang w:val="en-GB"/>
        </w:rPr>
        <w:t>24</w:t>
      </w: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, 1-7.</w:t>
      </w:r>
    </w:p>
    <w:p w:rsidR="003437C1" w:rsidRDefault="003437C1" w:rsidP="003437C1">
      <w:pPr>
        <w:pStyle w:val="Heading"/>
        <w:spacing w:before="0" w:line="480" w:lineRule="auto"/>
        <w:rPr>
          <w:rStyle w:val="Hyperlink1"/>
          <w:rFonts w:eastAsia="Helvetica"/>
        </w:rPr>
      </w:pPr>
      <w:r w:rsidRPr="00163EE7">
        <w:rPr>
          <w:rStyle w:val="Hyperlink1"/>
          <w:rFonts w:eastAsia="Helvetica"/>
        </w:rPr>
        <w:t xml:space="preserve">Carney, J. (2016). </w:t>
      </w:r>
      <w:r w:rsidRPr="00E25100">
        <w:rPr>
          <w:rStyle w:val="None"/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How primitive emotions may explain </w:t>
      </w:r>
      <w:proofErr w:type="spellStart"/>
      <w:r w:rsidRPr="00E25100">
        <w:rPr>
          <w:rStyle w:val="None"/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Brexit</w:t>
      </w:r>
      <w:proofErr w:type="spellEnd"/>
      <w:r w:rsidRPr="00E25100">
        <w:rPr>
          <w:rStyle w:val="None"/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. </w:t>
      </w:r>
      <w:r w:rsidRPr="00E25100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The Conversation</w:t>
      </w:r>
      <w:r w:rsidRPr="00163EE7">
        <w:rPr>
          <w:rStyle w:val="Hyperlink1"/>
          <w:rFonts w:eastAsia="Helvetica"/>
        </w:rPr>
        <w:t xml:space="preserve"> (5 July).</w:t>
      </w:r>
    </w:p>
    <w:p w:rsidR="003437C1" w:rsidRDefault="003437C1" w:rsidP="003437C1">
      <w:pPr>
        <w:pStyle w:val="Body"/>
        <w:spacing w:line="480" w:lineRule="auto"/>
        <w:outlineLvl w:val="0"/>
        <w:rPr>
          <w:rStyle w:val="None"/>
          <w:i/>
          <w:iCs/>
        </w:rPr>
      </w:pPr>
      <w:r w:rsidRPr="00E25100">
        <w:rPr>
          <w:rStyle w:val="None"/>
          <w:kern w:val="36"/>
        </w:rPr>
        <w:t xml:space="preserve">Corr, P. J. (2016). The psychology of </w:t>
      </w:r>
      <w:proofErr w:type="spellStart"/>
      <w:r w:rsidRPr="00E25100">
        <w:rPr>
          <w:rStyle w:val="None"/>
          <w:kern w:val="36"/>
        </w:rPr>
        <w:t>Brexit</w:t>
      </w:r>
      <w:proofErr w:type="spellEnd"/>
      <w:r w:rsidRPr="00E25100">
        <w:rPr>
          <w:rStyle w:val="None"/>
          <w:kern w:val="36"/>
        </w:rPr>
        <w:t xml:space="preserve"> – and how it could swing the vote.</w:t>
      </w:r>
      <w:r w:rsidRPr="00E25100">
        <w:rPr>
          <w:rStyle w:val="None"/>
          <w:b/>
          <w:bCs/>
          <w:kern w:val="36"/>
        </w:rPr>
        <w:t xml:space="preserve"> </w:t>
      </w:r>
      <w:r w:rsidRPr="00E25100">
        <w:rPr>
          <w:rStyle w:val="None"/>
          <w:i/>
          <w:iCs/>
        </w:rPr>
        <w:t xml:space="preserve">The </w:t>
      </w:r>
    </w:p>
    <w:p w:rsidR="003437C1" w:rsidRPr="003437C1" w:rsidRDefault="003437C1" w:rsidP="003437C1">
      <w:pPr>
        <w:pStyle w:val="Body"/>
        <w:spacing w:line="480" w:lineRule="auto"/>
        <w:ind w:firstLine="720"/>
        <w:outlineLvl w:val="0"/>
        <w:rPr>
          <w:rStyle w:val="None"/>
          <w:lang w:val="en-US"/>
        </w:rPr>
      </w:pPr>
      <w:r w:rsidRPr="00E25100">
        <w:rPr>
          <w:rStyle w:val="None"/>
          <w:i/>
          <w:iCs/>
        </w:rPr>
        <w:t>Conversation</w:t>
      </w:r>
      <w:r w:rsidRPr="00163EE7">
        <w:rPr>
          <w:rStyle w:val="Hyperlink0"/>
        </w:rPr>
        <w:t xml:space="preserve"> (3 May).</w:t>
      </w:r>
    </w:p>
    <w:p w:rsidR="003437C1" w:rsidRDefault="003437C1" w:rsidP="003437C1">
      <w:pPr>
        <w:pStyle w:val="Default"/>
        <w:spacing w:line="480" w:lineRule="auto"/>
        <w:rPr>
          <w:rStyle w:val="None"/>
          <w:rFonts w:ascii="Times New Roman" w:hAnsi="Times New Roman" w:cs="Times New Roman"/>
          <w:sz w:val="24"/>
          <w:szCs w:val="24"/>
          <w:lang w:val="en-GB"/>
        </w:rPr>
      </w:pP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Crockett, M. (2016). Deal or no deal? </w:t>
      </w:r>
      <w:proofErr w:type="spellStart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Brexit</w:t>
      </w:r>
      <w:proofErr w:type="spellEnd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 and the allure of self-expression. </w:t>
      </w:r>
      <w:r w:rsidRPr="00E25100">
        <w:rPr>
          <w:rStyle w:val="None"/>
          <w:rFonts w:ascii="Times New Roman" w:hAnsi="Times New Roman" w:cs="Times New Roman"/>
          <w:i/>
          <w:iCs/>
          <w:sz w:val="24"/>
          <w:szCs w:val="24"/>
          <w:lang w:val="en-GB"/>
        </w:rPr>
        <w:t>The Guardian</w:t>
      </w: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3437C1" w:rsidRDefault="003437C1" w:rsidP="003437C1">
      <w:pPr>
        <w:pStyle w:val="Default"/>
        <w:spacing w:line="480" w:lineRule="auto"/>
        <w:ind w:left="720"/>
        <w:rPr>
          <w:rStyle w:val="Hyperlink4"/>
          <w:rFonts w:eastAsia="Helvetica"/>
          <w:color w:val="000000" w:themeColor="text1"/>
          <w:lang w:val="en-GB"/>
        </w:rPr>
      </w:pP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5</w:t>
      </w:r>
      <w:r w:rsidRPr="00E25100">
        <w:rPr>
          <w:rStyle w:val="None"/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 July</w:t>
      </w:r>
      <w:r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5" w:history="1">
        <w:r w:rsidRPr="004A2E1A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https://www.theguardian.com/science/head-quarters/2016/jul/05/deal-or-no-deal-</w:t>
        </w:r>
      </w:hyperlink>
      <w:r w:rsidRPr="00287C82">
        <w:rPr>
          <w:rStyle w:val="Hyperlink4"/>
          <w:rFonts w:eastAsia="Helvetica"/>
          <w:color w:val="000000" w:themeColor="text1"/>
        </w:rPr>
        <w:t>brexit-and-the-allure-of-self-expression</w:t>
      </w:r>
      <w:r w:rsidRPr="008F584F">
        <w:rPr>
          <w:rStyle w:val="Hyperlink4"/>
          <w:rFonts w:eastAsia="Helvetica"/>
          <w:color w:val="000000" w:themeColor="text1"/>
          <w:lang w:val="en-GB"/>
        </w:rPr>
        <w:t>, accessed 26</w:t>
      </w:r>
      <w:r w:rsidRPr="008F584F">
        <w:rPr>
          <w:rStyle w:val="Hyperlink4"/>
          <w:rFonts w:eastAsia="Helvetica"/>
          <w:color w:val="000000" w:themeColor="text1"/>
          <w:vertAlign w:val="superscript"/>
          <w:lang w:val="en-GB"/>
        </w:rPr>
        <w:t>th</w:t>
      </w:r>
      <w:r w:rsidRPr="008F584F">
        <w:rPr>
          <w:rStyle w:val="Hyperlink4"/>
          <w:rFonts w:eastAsia="Helvetica"/>
          <w:color w:val="000000" w:themeColor="text1"/>
          <w:lang w:val="en-GB"/>
        </w:rPr>
        <w:t xml:space="preserve"> November, 2016</w:t>
      </w:r>
      <w:r>
        <w:rPr>
          <w:rStyle w:val="Hyperlink4"/>
          <w:rFonts w:eastAsia="Helvetica"/>
          <w:color w:val="000000" w:themeColor="text1"/>
          <w:lang w:val="en-GB"/>
        </w:rPr>
        <w:t>.</w:t>
      </w:r>
    </w:p>
    <w:p w:rsidR="003437C1" w:rsidRPr="003437C1" w:rsidRDefault="003437C1" w:rsidP="003437C1">
      <w:pPr>
        <w:pStyle w:val="Body"/>
        <w:rPr>
          <w:lang w:val="en-US"/>
        </w:rPr>
      </w:pPr>
    </w:p>
    <w:p w:rsidR="00E00C13" w:rsidRDefault="00E00C13" w:rsidP="00E00C13">
      <w:pPr>
        <w:pStyle w:val="Default"/>
        <w:spacing w:line="480" w:lineRule="auto"/>
        <w:rPr>
          <w:rStyle w:val="None"/>
          <w:rFonts w:ascii="Times New Roman" w:hAnsi="Times New Roman" w:cs="Times New Roman"/>
          <w:sz w:val="24"/>
          <w:szCs w:val="24"/>
          <w:lang w:val="en-GB"/>
        </w:rPr>
      </w:pP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Flinders, M. (2016). The rejected experts. </w:t>
      </w:r>
      <w:r w:rsidRPr="00E25100">
        <w:rPr>
          <w:rStyle w:val="None"/>
          <w:rFonts w:ascii="Times New Roman" w:hAnsi="Times New Roman" w:cs="Times New Roman"/>
          <w:i/>
          <w:sz w:val="24"/>
          <w:szCs w:val="24"/>
          <w:lang w:val="en-GB"/>
        </w:rPr>
        <w:t>Society Now</w:t>
      </w:r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Autumn</w:t>
      </w:r>
      <w:proofErr w:type="gramEnd"/>
      <w:r w:rsidRPr="00E25100">
        <w:rPr>
          <w:rStyle w:val="None"/>
          <w:rFonts w:ascii="Times New Roman" w:hAnsi="Times New Roman" w:cs="Times New Roman"/>
          <w:sz w:val="24"/>
          <w:szCs w:val="24"/>
          <w:lang w:val="en-GB"/>
        </w:rPr>
        <w:t>, Issue 26.</w:t>
      </w:r>
    </w:p>
    <w:p w:rsidR="003437C1" w:rsidRDefault="003437C1" w:rsidP="003437C1">
      <w:pPr>
        <w:pStyle w:val="Heading1"/>
        <w:spacing w:before="0" w:line="48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</w:pPr>
      <w:proofErr w:type="spellStart"/>
      <w:r w:rsidRPr="00E251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Heffer</w:t>
      </w:r>
      <w:proofErr w:type="spellEnd"/>
      <w:r w:rsidRPr="00E251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G. (2016).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‘</w:t>
      </w:r>
      <w:r w:rsidRPr="00E251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  <w:t xml:space="preserve">The only thing to fear is fear itself’: Boris says there are NO downsides to </w:t>
      </w:r>
    </w:p>
    <w:p w:rsidR="003437C1" w:rsidRDefault="003437C1" w:rsidP="003437C1">
      <w:pPr>
        <w:pStyle w:val="Heading1"/>
        <w:spacing w:before="0" w:line="48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</w:pPr>
      <w:proofErr w:type="gramStart"/>
      <w:r w:rsidRPr="00E251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  <w:t>quitting</w:t>
      </w:r>
      <w:proofErr w:type="gramEnd"/>
      <w:r w:rsidRPr="00E251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  <w:t xml:space="preserve"> EU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  <w:t xml:space="preserve">. </w:t>
      </w:r>
      <w:r w:rsidRPr="00E2510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  <w:t>Express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  <w:t>, 11</w:t>
      </w:r>
      <w:r w:rsidRPr="00E251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  <w:t xml:space="preserve"> March, 2916, accessed 26</w:t>
      </w:r>
      <w:r w:rsidRPr="00E251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/>
          <w:lang w:val="en-GB" w:eastAsia="en-GB"/>
        </w:rPr>
        <w:t xml:space="preserve"> November, 2016.</w:t>
      </w:r>
    </w:p>
    <w:p w:rsidR="003437C1" w:rsidRDefault="003437C1" w:rsidP="003437C1">
      <w:pPr>
        <w:pStyle w:val="Default"/>
        <w:spacing w:line="48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>Kahneman</w:t>
      </w:r>
      <w:proofErr w:type="spellEnd"/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 xml:space="preserve">, D., </w:t>
      </w:r>
      <w:proofErr w:type="spellStart"/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>Knetsch</w:t>
      </w:r>
      <w:proofErr w:type="spellEnd"/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 xml:space="preserve">, J. L., &amp; </w:t>
      </w:r>
      <w:proofErr w:type="spellStart"/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>Thaler</w:t>
      </w:r>
      <w:proofErr w:type="spellEnd"/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 xml:space="preserve">, R. H. (1990). Experimental tests of the endowment </w:t>
      </w:r>
    </w:p>
    <w:p w:rsidR="003437C1" w:rsidRPr="003437C1" w:rsidRDefault="003437C1" w:rsidP="003437C1">
      <w:pPr>
        <w:pStyle w:val="Default"/>
        <w:spacing w:line="480" w:lineRule="auto"/>
        <w:ind w:left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>effect</w:t>
      </w:r>
      <w:proofErr w:type="gramEnd"/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 xml:space="preserve"> and the cause theorem. </w:t>
      </w:r>
      <w:r w:rsidRPr="00E25100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en-GB"/>
        </w:rPr>
        <w:t>Journal of political Economy</w:t>
      </w:r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E25100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en-GB"/>
        </w:rPr>
        <w:t>98</w:t>
      </w:r>
      <w:r w:rsidRPr="00E2510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GB"/>
        </w:rPr>
        <w:t>(6), 1325-1348.</w:t>
      </w:r>
      <w:r w:rsidRPr="00867AD9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 </w:t>
      </w:r>
      <w:hyperlink r:id="rId6" w:history="1">
        <w:proofErr w:type="gramStart"/>
        <w:r w:rsidRPr="0010611B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en-US"/>
          </w:rPr>
          <w:t>doi:</w:t>
        </w:r>
        <w:proofErr w:type="gramEnd"/>
        <w:r w:rsidRPr="0010611B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en-US"/>
          </w:rPr>
          <w:t>10.1086/261737</w:t>
        </w:r>
      </w:hyperlink>
    </w:p>
    <w:p w:rsidR="00E00C13" w:rsidRDefault="00E00C13" w:rsidP="00E00C13">
      <w:pPr>
        <w:pStyle w:val="Default"/>
        <w:spacing w:line="48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/>
        </w:rPr>
        <w:t xml:space="preserve">Oxford Dictionaries (2016). Word of the year is… </w:t>
      </w:r>
    </w:p>
    <w:p w:rsidR="00E00C13" w:rsidRDefault="00F663BE" w:rsidP="00E00C13">
      <w:pPr>
        <w:pStyle w:val="Default"/>
        <w:spacing w:line="480" w:lineRule="auto"/>
        <w:ind w:left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/>
        </w:rPr>
      </w:pPr>
      <w:hyperlink r:id="rId7" w:history="1">
        <w:r w:rsidR="00E00C13" w:rsidRPr="008622E2">
          <w:rPr>
            <w:rStyle w:val="Hyperlink"/>
            <w:rFonts w:ascii="Times New Roman" w:eastAsia="Arial Unicode MS" w:hAnsi="Times New Roman" w:cs="Times New Roman"/>
            <w:sz w:val="24"/>
            <w:szCs w:val="24"/>
            <w:lang w:eastAsia="en-US"/>
          </w:rPr>
          <w:t>https://en.oxforddictionaries.com/word of-the-year/word-of-the-year-2016</w:t>
        </w:r>
      </w:hyperlink>
      <w:r w:rsidR="00E00C1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/>
        </w:rPr>
        <w:t>, accessed 8</w:t>
      </w:r>
      <w:r w:rsidR="00E00C13" w:rsidRPr="008622E2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th</w:t>
      </w:r>
      <w:r w:rsidR="00E00C1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/>
        </w:rPr>
        <w:t xml:space="preserve"> December, 2016.</w:t>
      </w:r>
    </w:p>
    <w:p w:rsidR="003437C1" w:rsidRDefault="003437C1" w:rsidP="003437C1">
      <w:pPr>
        <w:pStyle w:val="BodyAA"/>
        <w:spacing w:line="480" w:lineRule="auto"/>
        <w:rPr>
          <w:rStyle w:val="None"/>
          <w:rFonts w:ascii="Times New Roman" w:hAnsi="Times New Roman" w:cs="Times New Roman"/>
          <w:lang w:val="en-GB"/>
        </w:rPr>
      </w:pPr>
      <w:r w:rsidRPr="00E25100">
        <w:rPr>
          <w:rStyle w:val="None"/>
          <w:rFonts w:ascii="Times New Roman" w:hAnsi="Times New Roman" w:cs="Times New Roman"/>
          <w:lang w:val="en-GB"/>
        </w:rPr>
        <w:t>Walasek, L.</w:t>
      </w:r>
      <w:r>
        <w:rPr>
          <w:rStyle w:val="None"/>
          <w:rFonts w:ascii="Times New Roman" w:hAnsi="Times New Roman" w:cs="Times New Roman"/>
          <w:lang w:val="en-GB"/>
        </w:rPr>
        <w:t>,</w:t>
      </w:r>
      <w:r w:rsidRPr="00E25100">
        <w:rPr>
          <w:rStyle w:val="None"/>
          <w:rFonts w:ascii="Times New Roman" w:hAnsi="Times New Roman" w:cs="Times New Roman"/>
          <w:lang w:val="en-GB"/>
        </w:rPr>
        <w:t xml:space="preserve"> &amp; Stewart, N. (2015). How to make loss aversion disappear and reverse: Test of </w:t>
      </w:r>
    </w:p>
    <w:p w:rsidR="002F7C92" w:rsidRPr="00F663BE" w:rsidRDefault="003437C1" w:rsidP="00F663BE">
      <w:pPr>
        <w:pStyle w:val="BodyAA"/>
        <w:spacing w:line="480" w:lineRule="auto"/>
        <w:ind w:left="720"/>
        <w:rPr>
          <w:rFonts w:ascii="Times New Roman" w:hAnsi="Times New Roman" w:cs="Times New Roman"/>
          <w:lang w:val="en-GB"/>
        </w:rPr>
      </w:pPr>
      <w:proofErr w:type="gramStart"/>
      <w:r w:rsidRPr="00E25100">
        <w:rPr>
          <w:rStyle w:val="None"/>
          <w:rFonts w:ascii="Times New Roman" w:hAnsi="Times New Roman" w:cs="Times New Roman"/>
          <w:lang w:val="en-GB"/>
        </w:rPr>
        <w:t>the</w:t>
      </w:r>
      <w:proofErr w:type="gramEnd"/>
      <w:r w:rsidRPr="00E25100">
        <w:rPr>
          <w:rStyle w:val="None"/>
          <w:rFonts w:ascii="Times New Roman" w:hAnsi="Times New Roman" w:cs="Times New Roman"/>
          <w:lang w:val="en-GB"/>
        </w:rPr>
        <w:t xml:space="preserve"> decision by sampling origin of loss aversion. </w:t>
      </w:r>
      <w:r w:rsidRPr="00E25100">
        <w:rPr>
          <w:rStyle w:val="None"/>
          <w:rFonts w:ascii="Times New Roman" w:hAnsi="Times New Roman" w:cs="Times New Roman"/>
          <w:i/>
          <w:lang w:val="en-GB"/>
        </w:rPr>
        <w:t>Journal of Experimental Psychology: General</w:t>
      </w:r>
      <w:r w:rsidRPr="00E25100">
        <w:rPr>
          <w:rStyle w:val="None"/>
          <w:rFonts w:ascii="Times New Roman" w:hAnsi="Times New Roman" w:cs="Times New Roman"/>
          <w:lang w:val="en-GB"/>
        </w:rPr>
        <w:t>,</w:t>
      </w:r>
      <w:r>
        <w:rPr>
          <w:rStyle w:val="None"/>
          <w:rFonts w:ascii="Times New Roman" w:hAnsi="Times New Roman" w:cs="Times New Roman"/>
          <w:lang w:val="en-GB"/>
        </w:rPr>
        <w:t xml:space="preserve"> </w:t>
      </w:r>
      <w:r w:rsidRPr="00E25100">
        <w:rPr>
          <w:rStyle w:val="None"/>
          <w:rFonts w:ascii="Times New Roman" w:hAnsi="Times New Roman" w:cs="Times New Roman"/>
          <w:i/>
          <w:lang w:val="en-GB"/>
        </w:rPr>
        <w:t>144</w:t>
      </w:r>
      <w:r>
        <w:rPr>
          <w:rStyle w:val="None"/>
          <w:rFonts w:ascii="Times New Roman" w:hAnsi="Times New Roman" w:cs="Times New Roman"/>
          <w:lang w:val="en-GB"/>
        </w:rPr>
        <w:t>(1)</w:t>
      </w:r>
      <w:r w:rsidRPr="00E25100">
        <w:rPr>
          <w:rStyle w:val="None"/>
          <w:rFonts w:ascii="Times New Roman" w:hAnsi="Times New Roman" w:cs="Times New Roman"/>
          <w:lang w:val="en-GB"/>
        </w:rPr>
        <w:t xml:space="preserve"> 7-1</w:t>
      </w:r>
      <w:r>
        <w:rPr>
          <w:rStyle w:val="None"/>
          <w:rFonts w:ascii="Times New Roman" w:hAnsi="Times New Roman" w:cs="Times New Roman"/>
          <w:lang w:val="en-GB"/>
        </w:rPr>
        <w:t xml:space="preserve">1. </w:t>
      </w:r>
      <w:hyperlink r:id="rId8" w:history="1">
        <w:r w:rsidRPr="0010611B">
          <w:rPr>
            <w:rFonts w:ascii="Times New Roman" w:eastAsia="Arial Unicode MS" w:hAnsi="Times New Roman" w:cs="Times New Roman"/>
            <w:color w:val="000000" w:themeColor="text1"/>
            <w:lang w:val="en-US" w:eastAsia="en-US"/>
          </w:rPr>
          <w:t>doi:10.1037/xge0000039</w:t>
        </w:r>
      </w:hyperlink>
      <w:r w:rsidRPr="0010611B" w:rsidDel="003536CA">
        <w:rPr>
          <w:rStyle w:val="None"/>
          <w:rFonts w:ascii="Times New Roman" w:hAnsi="Times New Roman" w:cs="Times New Roman"/>
          <w:color w:val="000000" w:themeColor="text1"/>
          <w:lang w:val="en-GB"/>
        </w:rPr>
        <w:t xml:space="preserve"> </w:t>
      </w:r>
      <w:bookmarkStart w:id="0" w:name="_GoBack"/>
      <w:bookmarkEnd w:id="0"/>
    </w:p>
    <w:sectPr w:rsidR="002F7C92" w:rsidRPr="00F66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21"/>
    <w:rsid w:val="00175BF4"/>
    <w:rsid w:val="002F7C92"/>
    <w:rsid w:val="0033471E"/>
    <w:rsid w:val="003437C1"/>
    <w:rsid w:val="0043606F"/>
    <w:rsid w:val="007D5B30"/>
    <w:rsid w:val="008E2417"/>
    <w:rsid w:val="00910E21"/>
    <w:rsid w:val="00C77158"/>
    <w:rsid w:val="00D94C9D"/>
    <w:rsid w:val="00E00C13"/>
    <w:rsid w:val="00EB584C"/>
    <w:rsid w:val="00F663BE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FE851-947D-425D-B8B8-8C3C9C3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7C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10E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910E21"/>
    <w:rPr>
      <w:color w:val="000000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43606F"/>
    <w:rPr>
      <w:i/>
      <w:iCs/>
    </w:rPr>
  </w:style>
  <w:style w:type="character" w:customStyle="1" w:styleId="None">
    <w:name w:val="None"/>
    <w:rsid w:val="00D94C9D"/>
  </w:style>
  <w:style w:type="paragraph" w:styleId="BalloonText">
    <w:name w:val="Balloon Text"/>
    <w:basedOn w:val="Normal"/>
    <w:link w:val="BalloonTextChar"/>
    <w:uiPriority w:val="99"/>
    <w:semiHidden/>
    <w:unhideWhenUsed/>
    <w:rsid w:val="002F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7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character" w:styleId="Hyperlink">
    <w:name w:val="Hyperlink"/>
    <w:rsid w:val="00E00C13"/>
    <w:rPr>
      <w:u w:val="single"/>
    </w:rPr>
  </w:style>
  <w:style w:type="character" w:customStyle="1" w:styleId="Hyperlink4">
    <w:name w:val="Hyperlink.4"/>
    <w:basedOn w:val="DefaultParagraphFont"/>
    <w:rsid w:val="00E00C13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BodyAA">
    <w:name w:val="Body A A"/>
    <w:rsid w:val="003437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GB"/>
    </w:rPr>
  </w:style>
  <w:style w:type="character" w:customStyle="1" w:styleId="Hyperlink1">
    <w:name w:val="Hyperlink.1"/>
    <w:basedOn w:val="None"/>
    <w:rsid w:val="003437C1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rsid w:val="003437C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Helvetica" w:eastAsia="Helvetica" w:hAnsi="Helvetica" w:cs="Helvetica"/>
      <w:color w:val="2F759E"/>
      <w:sz w:val="32"/>
      <w:szCs w:val="32"/>
      <w:u w:color="2F759E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37C1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7/xge0000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oxforddictionaries.com/word%20of-the-year/word-of-the-year-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86/261737" TargetMode="External"/><Relationship Id="rId5" Type="http://schemas.openxmlformats.org/officeDocument/2006/relationships/hyperlink" Target="https://www.theguardian.com/science/head-quarters/2016/jul/05/deal-or-no-deal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s.bbc.co.uk/1/shared/bsp/hi/pdfs/2102160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Corr, Philip</dc:creator>
  <cp:keywords/>
  <dc:description/>
  <cp:lastModifiedBy>Corr, Philip</cp:lastModifiedBy>
  <cp:revision>2</cp:revision>
  <cp:lastPrinted>2017-02-20T10:59:00Z</cp:lastPrinted>
  <dcterms:created xsi:type="dcterms:W3CDTF">2017-05-25T08:45:00Z</dcterms:created>
  <dcterms:modified xsi:type="dcterms:W3CDTF">2017-05-25T08:45:00Z</dcterms:modified>
</cp:coreProperties>
</file>