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C47DB" w14:textId="77777777" w:rsidR="000A1722" w:rsidRDefault="000A1722" w:rsidP="002853E6">
      <w:pPr>
        <w:spacing w:line="480" w:lineRule="auto"/>
        <w:ind w:firstLine="720"/>
        <w:rPr>
          <w:sz w:val="22"/>
          <w:szCs w:val="22"/>
          <w:lang w:val="en-GB"/>
        </w:rPr>
      </w:pPr>
    </w:p>
    <w:p w14:paraId="66A9E238" w14:textId="6B924209" w:rsidR="00C80DE1" w:rsidRPr="00262711" w:rsidRDefault="00DB3892" w:rsidP="002853E6">
      <w:pPr>
        <w:spacing w:line="480" w:lineRule="auto"/>
        <w:ind w:firstLine="720"/>
        <w:rPr>
          <w:sz w:val="22"/>
          <w:szCs w:val="22"/>
          <w:lang w:val="en-GB"/>
        </w:rPr>
      </w:pPr>
      <w:r w:rsidRPr="00262711">
        <w:rPr>
          <w:sz w:val="22"/>
          <w:szCs w:val="22"/>
          <w:lang w:val="en-GB"/>
        </w:rPr>
        <w:t xml:space="preserve"> </w:t>
      </w:r>
    </w:p>
    <w:p w14:paraId="66A9E239" w14:textId="77777777" w:rsidR="001853DA" w:rsidRPr="00262711" w:rsidRDefault="00D273B9" w:rsidP="003F124D">
      <w:pPr>
        <w:spacing w:line="480" w:lineRule="auto"/>
        <w:ind w:firstLine="720"/>
        <w:jc w:val="center"/>
        <w:rPr>
          <w:lang w:val="en-GB"/>
        </w:rPr>
      </w:pPr>
      <w:r w:rsidRPr="00262711">
        <w:rPr>
          <w:lang w:val="en-GB"/>
        </w:rPr>
        <w:t xml:space="preserve">The psychometric properties of the German </w:t>
      </w:r>
      <w:r w:rsidR="00E40E6D" w:rsidRPr="00262711">
        <w:rPr>
          <w:lang w:val="en-GB"/>
        </w:rPr>
        <w:t xml:space="preserve">language </w:t>
      </w:r>
      <w:r w:rsidRPr="00262711">
        <w:rPr>
          <w:lang w:val="en-GB"/>
        </w:rPr>
        <w:t>Reinforcement Sensitivity Theory-Personality Questionnaire (RST-PQ)</w:t>
      </w:r>
    </w:p>
    <w:p w14:paraId="66A9E23A" w14:textId="77777777" w:rsidR="00C80DE1" w:rsidRPr="00262711" w:rsidRDefault="00C80DE1" w:rsidP="003F124D">
      <w:pPr>
        <w:spacing w:line="480" w:lineRule="auto"/>
        <w:ind w:firstLine="720"/>
        <w:jc w:val="center"/>
        <w:rPr>
          <w:lang w:val="en-GB"/>
        </w:rPr>
      </w:pPr>
    </w:p>
    <w:p w14:paraId="66A9E23B" w14:textId="77777777" w:rsidR="00C80DE1" w:rsidRPr="00262711" w:rsidRDefault="006D6259" w:rsidP="003F124D">
      <w:pPr>
        <w:spacing w:line="480" w:lineRule="auto"/>
        <w:ind w:firstLine="720"/>
        <w:jc w:val="center"/>
        <w:rPr>
          <w:lang w:val="en-GB"/>
        </w:rPr>
      </w:pPr>
      <w:r w:rsidRPr="00262711">
        <w:rPr>
          <w:lang w:val="en-GB"/>
        </w:rPr>
        <w:t xml:space="preserve">Giulia </w:t>
      </w:r>
      <w:bookmarkStart w:id="0" w:name="_GoBack"/>
      <w:r w:rsidRPr="00262711">
        <w:rPr>
          <w:lang w:val="en-GB"/>
        </w:rPr>
        <w:t>Pugnaghi (</w:t>
      </w:r>
      <w:bookmarkEnd w:id="0"/>
      <w:r w:rsidRPr="00262711">
        <w:rPr>
          <w:lang w:val="en-GB"/>
        </w:rPr>
        <w:t>1), Andrew Cooper (2), Ulrich Ettinger (1), Philip J. Corr (3)</w:t>
      </w:r>
    </w:p>
    <w:p w14:paraId="66A9E23C" w14:textId="77777777" w:rsidR="006D6259" w:rsidRPr="00262711" w:rsidRDefault="006D6259" w:rsidP="003F124D">
      <w:pPr>
        <w:spacing w:line="480" w:lineRule="auto"/>
        <w:ind w:firstLine="720"/>
        <w:jc w:val="center"/>
        <w:rPr>
          <w:lang w:val="en-GB"/>
        </w:rPr>
      </w:pPr>
    </w:p>
    <w:p w14:paraId="66A9E23D" w14:textId="77777777" w:rsidR="006D6259" w:rsidRPr="00262711" w:rsidRDefault="006D6259" w:rsidP="00874156">
      <w:pPr>
        <w:spacing w:line="480" w:lineRule="auto"/>
        <w:rPr>
          <w:lang w:val="en-GB"/>
        </w:rPr>
      </w:pPr>
      <w:r w:rsidRPr="00262711">
        <w:rPr>
          <w:lang w:val="en-GB"/>
        </w:rPr>
        <w:t>(1) Department of Psychology, University of Bonn, Bonn, Germany</w:t>
      </w:r>
    </w:p>
    <w:p w14:paraId="66A9E23E" w14:textId="77777777" w:rsidR="006D6259" w:rsidRPr="00262711" w:rsidRDefault="006D6259" w:rsidP="00874156">
      <w:pPr>
        <w:spacing w:line="480" w:lineRule="auto"/>
        <w:rPr>
          <w:lang w:val="en-GB"/>
        </w:rPr>
      </w:pPr>
      <w:r w:rsidRPr="00262711">
        <w:rPr>
          <w:lang w:val="en-GB"/>
        </w:rPr>
        <w:t xml:space="preserve">(2) Department of Psychology, Goldsmiths, </w:t>
      </w:r>
      <w:r w:rsidR="00874156" w:rsidRPr="00262711">
        <w:rPr>
          <w:lang w:val="en-GB"/>
        </w:rPr>
        <w:t xml:space="preserve">University of </w:t>
      </w:r>
      <w:r w:rsidRPr="00262711">
        <w:rPr>
          <w:lang w:val="en-GB"/>
        </w:rPr>
        <w:t xml:space="preserve">London, </w:t>
      </w:r>
      <w:r w:rsidR="00874156" w:rsidRPr="00262711">
        <w:rPr>
          <w:lang w:val="en-GB"/>
        </w:rPr>
        <w:t xml:space="preserve">London, </w:t>
      </w:r>
      <w:r w:rsidRPr="00262711">
        <w:rPr>
          <w:lang w:val="en-GB"/>
        </w:rPr>
        <w:t>UK</w:t>
      </w:r>
    </w:p>
    <w:p w14:paraId="66A9E23F" w14:textId="77777777" w:rsidR="006D6259" w:rsidRPr="00262711" w:rsidRDefault="006D6259" w:rsidP="00874156">
      <w:pPr>
        <w:spacing w:line="480" w:lineRule="auto"/>
        <w:rPr>
          <w:lang w:val="en-GB"/>
        </w:rPr>
      </w:pPr>
      <w:r w:rsidRPr="00262711">
        <w:rPr>
          <w:lang w:val="en-GB"/>
        </w:rPr>
        <w:t>(3) Department of Psychology, City</w:t>
      </w:r>
      <w:r w:rsidR="00874156" w:rsidRPr="00262711">
        <w:rPr>
          <w:lang w:val="en-GB"/>
        </w:rPr>
        <w:t>,</w:t>
      </w:r>
      <w:r w:rsidRPr="00262711">
        <w:rPr>
          <w:lang w:val="en-GB"/>
        </w:rPr>
        <w:t xml:space="preserve"> University</w:t>
      </w:r>
      <w:r w:rsidR="00874156" w:rsidRPr="00262711">
        <w:rPr>
          <w:lang w:val="en-GB"/>
        </w:rPr>
        <w:t xml:space="preserve"> of </w:t>
      </w:r>
      <w:r w:rsidRPr="00262711">
        <w:rPr>
          <w:lang w:val="en-GB"/>
        </w:rPr>
        <w:t xml:space="preserve">London, </w:t>
      </w:r>
      <w:r w:rsidR="00874156" w:rsidRPr="00262711">
        <w:rPr>
          <w:lang w:val="en-GB"/>
        </w:rPr>
        <w:t xml:space="preserve">London, </w:t>
      </w:r>
      <w:r w:rsidRPr="00262711">
        <w:rPr>
          <w:lang w:val="en-GB"/>
        </w:rPr>
        <w:t>UK</w:t>
      </w:r>
    </w:p>
    <w:p w14:paraId="66A9E240" w14:textId="77777777" w:rsidR="006D6259" w:rsidRPr="00262711" w:rsidRDefault="006D6259" w:rsidP="00874156">
      <w:pPr>
        <w:spacing w:line="480" w:lineRule="auto"/>
        <w:rPr>
          <w:lang w:val="en-GB"/>
        </w:rPr>
      </w:pPr>
    </w:p>
    <w:p w14:paraId="66A9E241" w14:textId="77777777" w:rsidR="006D6259" w:rsidRPr="00262711" w:rsidRDefault="006D6259" w:rsidP="00874156">
      <w:pPr>
        <w:spacing w:line="480" w:lineRule="auto"/>
        <w:rPr>
          <w:u w:val="single"/>
          <w:lang w:val="en-GB"/>
        </w:rPr>
      </w:pPr>
      <w:r w:rsidRPr="00262711">
        <w:rPr>
          <w:u w:val="single"/>
          <w:lang w:val="en-GB"/>
        </w:rPr>
        <w:t>Corresponding Author</w:t>
      </w:r>
    </w:p>
    <w:p w14:paraId="66A9E242" w14:textId="77777777" w:rsidR="00BA50D8" w:rsidRDefault="00BA50D8" w:rsidP="00874156">
      <w:pPr>
        <w:spacing w:line="480" w:lineRule="auto"/>
        <w:rPr>
          <w:lang w:val="en-GB"/>
        </w:rPr>
      </w:pPr>
      <w:r>
        <w:rPr>
          <w:lang w:val="en-GB"/>
        </w:rPr>
        <w:t>Giulia Pugnaghi</w:t>
      </w:r>
    </w:p>
    <w:p w14:paraId="66A9E243" w14:textId="77777777" w:rsidR="00BA50D8" w:rsidRDefault="00BA50D8" w:rsidP="00874156">
      <w:pPr>
        <w:spacing w:line="480" w:lineRule="auto"/>
        <w:rPr>
          <w:lang w:val="en-GB"/>
        </w:rPr>
      </w:pPr>
      <w:r>
        <w:rPr>
          <w:lang w:val="en-GB"/>
        </w:rPr>
        <w:t>Department of Psychology</w:t>
      </w:r>
    </w:p>
    <w:p w14:paraId="66A9E244" w14:textId="77777777" w:rsidR="00BA50D8" w:rsidRDefault="00BA50D8" w:rsidP="00874156">
      <w:pPr>
        <w:spacing w:line="480" w:lineRule="auto"/>
        <w:rPr>
          <w:lang w:val="en-GB"/>
        </w:rPr>
      </w:pPr>
      <w:r>
        <w:rPr>
          <w:lang w:val="en-GB"/>
        </w:rPr>
        <w:t>University of Bonn</w:t>
      </w:r>
    </w:p>
    <w:p w14:paraId="66A9E245" w14:textId="77777777" w:rsidR="00BA50D8" w:rsidRDefault="00BA50D8" w:rsidP="00874156">
      <w:pPr>
        <w:spacing w:line="480" w:lineRule="auto"/>
        <w:rPr>
          <w:lang w:val="en-GB"/>
        </w:rPr>
      </w:pPr>
      <w:r>
        <w:rPr>
          <w:lang w:val="en-GB"/>
        </w:rPr>
        <w:t>Kaiser-Karl-Ring 9</w:t>
      </w:r>
    </w:p>
    <w:p w14:paraId="66A9E246" w14:textId="77777777" w:rsidR="00BA50D8" w:rsidRDefault="00BA50D8" w:rsidP="00874156">
      <w:pPr>
        <w:spacing w:line="480" w:lineRule="auto"/>
        <w:rPr>
          <w:lang w:val="en-GB"/>
        </w:rPr>
      </w:pPr>
      <w:r>
        <w:rPr>
          <w:lang w:val="en-GB"/>
        </w:rPr>
        <w:t xml:space="preserve">53111 </w:t>
      </w:r>
      <w:r w:rsidR="00F9571C">
        <w:rPr>
          <w:lang w:val="en-GB"/>
        </w:rPr>
        <w:t>Bonn</w:t>
      </w:r>
    </w:p>
    <w:p w14:paraId="66A9E247" w14:textId="77777777" w:rsidR="006D6259" w:rsidRDefault="00F9571C" w:rsidP="00874156">
      <w:pPr>
        <w:spacing w:line="480" w:lineRule="auto"/>
        <w:rPr>
          <w:lang w:val="en-GB"/>
        </w:rPr>
      </w:pPr>
      <w:r>
        <w:rPr>
          <w:lang w:val="en-GB"/>
        </w:rPr>
        <w:t>Germany</w:t>
      </w:r>
    </w:p>
    <w:p w14:paraId="66A9E248" w14:textId="77777777" w:rsidR="00BA50D8" w:rsidRDefault="00BA50D8" w:rsidP="00874156">
      <w:pPr>
        <w:spacing w:line="480" w:lineRule="auto"/>
        <w:rPr>
          <w:lang w:val="en-GB"/>
        </w:rPr>
      </w:pPr>
    </w:p>
    <w:p w14:paraId="66A9E249" w14:textId="77777777" w:rsidR="00F9571C" w:rsidRPr="00262711" w:rsidRDefault="00F9571C" w:rsidP="00874156">
      <w:pPr>
        <w:spacing w:line="480" w:lineRule="auto"/>
        <w:rPr>
          <w:lang w:val="en-GB"/>
        </w:rPr>
      </w:pPr>
      <w:r>
        <w:rPr>
          <w:lang w:val="en-GB"/>
        </w:rPr>
        <w:t>Email: giuliapugnaghi@gmail.com</w:t>
      </w:r>
    </w:p>
    <w:p w14:paraId="66A9E24A" w14:textId="77777777" w:rsidR="00BA50D8" w:rsidRPr="00BA50D8" w:rsidRDefault="00BA50D8" w:rsidP="00BA50D8">
      <w:pPr>
        <w:spacing w:line="480" w:lineRule="auto"/>
        <w:rPr>
          <w:lang w:val="en-GB"/>
        </w:rPr>
      </w:pPr>
      <w:r w:rsidRPr="00BA50D8">
        <w:rPr>
          <w:lang w:val="en-GB"/>
        </w:rPr>
        <w:t xml:space="preserve">Tel: </w:t>
      </w:r>
      <w:r>
        <w:rPr>
          <w:lang w:val="en-GB"/>
        </w:rPr>
        <w:t xml:space="preserve">+ 49 </w:t>
      </w:r>
      <w:r w:rsidRPr="00BA50D8">
        <w:rPr>
          <w:lang w:val="en-GB"/>
        </w:rPr>
        <w:t>228 734208</w:t>
      </w:r>
    </w:p>
    <w:p w14:paraId="66A9E24B" w14:textId="77777777" w:rsidR="00C80DE1" w:rsidRDefault="00BA50D8" w:rsidP="00BA50D8">
      <w:pPr>
        <w:spacing w:line="480" w:lineRule="auto"/>
        <w:rPr>
          <w:lang w:val="en-GB"/>
        </w:rPr>
      </w:pPr>
      <w:r w:rsidRPr="00BA50D8">
        <w:rPr>
          <w:lang w:val="en-GB"/>
        </w:rPr>
        <w:t xml:space="preserve">Fax: </w:t>
      </w:r>
      <w:r>
        <w:rPr>
          <w:lang w:val="en-GB"/>
        </w:rPr>
        <w:t xml:space="preserve">+ 49 </w:t>
      </w:r>
      <w:r w:rsidRPr="00BA50D8">
        <w:rPr>
          <w:lang w:val="en-GB"/>
        </w:rPr>
        <w:t>228 7362323</w:t>
      </w:r>
    </w:p>
    <w:p w14:paraId="66A9E24C" w14:textId="77777777" w:rsidR="00BA50D8" w:rsidRDefault="00BA50D8" w:rsidP="00BA50D8">
      <w:pPr>
        <w:spacing w:line="480" w:lineRule="auto"/>
        <w:rPr>
          <w:lang w:val="en-GB"/>
        </w:rPr>
      </w:pPr>
    </w:p>
    <w:p w14:paraId="66A9E24D" w14:textId="77777777" w:rsidR="00BA50D8" w:rsidRPr="00262711" w:rsidRDefault="00BA50D8" w:rsidP="00BA50D8">
      <w:pPr>
        <w:spacing w:line="480" w:lineRule="auto"/>
        <w:rPr>
          <w:lang w:val="en-GB"/>
        </w:rPr>
      </w:pPr>
    </w:p>
    <w:p w14:paraId="66A9E24E" w14:textId="77777777" w:rsidR="002639D8" w:rsidRPr="00262711" w:rsidRDefault="002639D8">
      <w:pPr>
        <w:rPr>
          <w:lang w:val="en-GB"/>
        </w:rPr>
      </w:pPr>
      <w:r w:rsidRPr="00262711">
        <w:rPr>
          <w:lang w:val="en-GB"/>
        </w:rPr>
        <w:br w:type="page"/>
      </w:r>
    </w:p>
    <w:p w14:paraId="66A9E24F" w14:textId="77777777" w:rsidR="00C80DE1" w:rsidRPr="00262711" w:rsidRDefault="00DB3892" w:rsidP="004F3145">
      <w:pPr>
        <w:spacing w:line="480" w:lineRule="auto"/>
        <w:jc w:val="center"/>
        <w:rPr>
          <w:lang w:val="en-GB"/>
        </w:rPr>
      </w:pPr>
      <w:r w:rsidRPr="00262711">
        <w:rPr>
          <w:lang w:val="en-GB"/>
        </w:rPr>
        <w:lastRenderedPageBreak/>
        <w:t>Abstract</w:t>
      </w:r>
    </w:p>
    <w:p w14:paraId="66A9E250" w14:textId="6FBAE55F" w:rsidR="00074D75" w:rsidRPr="00262711" w:rsidRDefault="00BD0543" w:rsidP="00BD0543">
      <w:pPr>
        <w:spacing w:line="480" w:lineRule="auto"/>
        <w:ind w:firstLine="720"/>
        <w:rPr>
          <w:i/>
          <w:iCs/>
          <w:lang w:val="en-GB"/>
        </w:rPr>
      </w:pPr>
      <w:r w:rsidRPr="00262711">
        <w:rPr>
          <w:lang w:val="en-GB"/>
        </w:rPr>
        <w:t xml:space="preserve">The aim of this study was to assess the </w:t>
      </w:r>
      <w:r w:rsidR="006A11BE" w:rsidRPr="00262711">
        <w:rPr>
          <w:lang w:val="en-GB"/>
        </w:rPr>
        <w:t>psychometric properties</w:t>
      </w:r>
      <w:r w:rsidRPr="00262711">
        <w:rPr>
          <w:lang w:val="en-GB"/>
        </w:rPr>
        <w:t xml:space="preserve"> of a German</w:t>
      </w:r>
      <w:r w:rsidR="00CA4387">
        <w:rPr>
          <w:lang w:val="en-GB"/>
        </w:rPr>
        <w:t xml:space="preserve"> </w:t>
      </w:r>
      <w:r w:rsidR="006A11BE" w:rsidRPr="00262711">
        <w:rPr>
          <w:lang w:val="en-GB"/>
        </w:rPr>
        <w:t>translat</w:t>
      </w:r>
      <w:r w:rsidR="00CA4387">
        <w:rPr>
          <w:lang w:val="en-GB"/>
        </w:rPr>
        <w:t xml:space="preserve">ion </w:t>
      </w:r>
      <w:r w:rsidRPr="00262711">
        <w:rPr>
          <w:lang w:val="en-GB"/>
        </w:rPr>
        <w:t>of the Reinforcement Sensitivity Theory of Personality Questionnaire (RST-PQ</w:t>
      </w:r>
      <w:r w:rsidR="00FD11C2" w:rsidRPr="00262711">
        <w:rPr>
          <w:lang w:val="en-GB"/>
        </w:rPr>
        <w:t>; Corr &amp; Cooper, 2016</w:t>
      </w:r>
      <w:r w:rsidRPr="00262711">
        <w:rPr>
          <w:lang w:val="en-GB"/>
        </w:rPr>
        <w:t xml:space="preserve">). </w:t>
      </w:r>
      <w:r w:rsidR="00FD11C2" w:rsidRPr="00262711">
        <w:rPr>
          <w:lang w:val="en-GB"/>
        </w:rPr>
        <w:t>Five hundred and twenty-seven participants completed the German version of the RST-PQ, in addition to a battery of related self-report personality questionnaire</w:t>
      </w:r>
      <w:r w:rsidR="004549E6" w:rsidRPr="00262711">
        <w:rPr>
          <w:lang w:val="en-GB"/>
        </w:rPr>
        <w:t>s</w:t>
      </w:r>
      <w:r w:rsidR="00FD11C2" w:rsidRPr="00262711">
        <w:rPr>
          <w:lang w:val="en-GB"/>
        </w:rPr>
        <w:t xml:space="preserve">. </w:t>
      </w:r>
      <w:r w:rsidRPr="00262711">
        <w:rPr>
          <w:lang w:val="en-GB"/>
        </w:rPr>
        <w:t>A six-factor structure</w:t>
      </w:r>
      <w:r w:rsidR="004549E6" w:rsidRPr="00262711">
        <w:rPr>
          <w:lang w:val="en-GB"/>
        </w:rPr>
        <w:t>,</w:t>
      </w:r>
      <w:r w:rsidRPr="00262711">
        <w:rPr>
          <w:lang w:val="en-GB"/>
        </w:rPr>
        <w:t xml:space="preserve"> with </w:t>
      </w:r>
      <w:r w:rsidR="0048567E" w:rsidRPr="00262711">
        <w:rPr>
          <w:lang w:val="en-GB"/>
        </w:rPr>
        <w:t xml:space="preserve">two </w:t>
      </w:r>
      <w:r w:rsidRPr="00262711">
        <w:rPr>
          <w:lang w:val="en-GB"/>
        </w:rPr>
        <w:t xml:space="preserve">unitary defensive factors, fight–flight–freeze system (FFFS; related to fear) and the </w:t>
      </w:r>
      <w:r w:rsidR="006C1399">
        <w:rPr>
          <w:lang w:val="en-GB"/>
        </w:rPr>
        <w:t>behaviour</w:t>
      </w:r>
      <w:r w:rsidRPr="00262711">
        <w:rPr>
          <w:lang w:val="en-GB"/>
        </w:rPr>
        <w:t>al inhibition system (BIS; related to anxiety)</w:t>
      </w:r>
      <w:r w:rsidR="00FD11C2" w:rsidRPr="00262711">
        <w:rPr>
          <w:lang w:val="en-GB"/>
        </w:rPr>
        <w:t>,</w:t>
      </w:r>
      <w:r w:rsidRPr="00262711">
        <w:rPr>
          <w:lang w:val="en-GB"/>
        </w:rPr>
        <w:t xml:space="preserve"> and </w:t>
      </w:r>
      <w:r w:rsidR="0048567E" w:rsidRPr="00262711">
        <w:rPr>
          <w:lang w:val="en-GB"/>
        </w:rPr>
        <w:t>four</w:t>
      </w:r>
      <w:r w:rsidRPr="00262711">
        <w:rPr>
          <w:lang w:val="en-GB"/>
        </w:rPr>
        <w:t xml:space="preserve"> </w:t>
      </w:r>
      <w:r w:rsidR="006C1399">
        <w:rPr>
          <w:lang w:val="en-GB"/>
        </w:rPr>
        <w:t>behaviour</w:t>
      </w:r>
      <w:r w:rsidRPr="00262711">
        <w:rPr>
          <w:lang w:val="en-GB"/>
        </w:rPr>
        <w:t>al approach system (BAS) factors (Reward Interest, Goal-Drive Persistence, Reward Reactivity, and Impulsivity)</w:t>
      </w:r>
      <w:r w:rsidR="004549E6" w:rsidRPr="00262711">
        <w:rPr>
          <w:lang w:val="en-GB"/>
        </w:rPr>
        <w:t>,</w:t>
      </w:r>
      <w:r w:rsidRPr="00262711">
        <w:rPr>
          <w:lang w:val="en-GB"/>
        </w:rPr>
        <w:t xml:space="preserve"> </w:t>
      </w:r>
      <w:r w:rsidR="00FD11C2" w:rsidRPr="00262711">
        <w:rPr>
          <w:lang w:val="en-GB"/>
        </w:rPr>
        <w:t>was</w:t>
      </w:r>
      <w:r w:rsidRPr="00262711">
        <w:rPr>
          <w:lang w:val="en-GB"/>
        </w:rPr>
        <w:t xml:space="preserve"> </w:t>
      </w:r>
      <w:r w:rsidR="000A419E" w:rsidRPr="00262711">
        <w:rPr>
          <w:lang w:val="en-GB"/>
        </w:rPr>
        <w:t>supported</w:t>
      </w:r>
      <w:r w:rsidRPr="00262711">
        <w:rPr>
          <w:lang w:val="en-GB"/>
        </w:rPr>
        <w:t xml:space="preserve"> </w:t>
      </w:r>
      <w:r w:rsidR="000A419E" w:rsidRPr="00262711">
        <w:rPr>
          <w:lang w:val="en-GB"/>
        </w:rPr>
        <w:t>by</w:t>
      </w:r>
      <w:r w:rsidRPr="00262711">
        <w:rPr>
          <w:lang w:val="en-GB"/>
        </w:rPr>
        <w:t xml:space="preserve"> confirmatory factor analys</w:t>
      </w:r>
      <w:r w:rsidR="000A419E" w:rsidRPr="00262711">
        <w:rPr>
          <w:lang w:val="en-GB"/>
        </w:rPr>
        <w:t>is</w:t>
      </w:r>
      <w:r w:rsidR="00CA4387">
        <w:rPr>
          <w:lang w:val="en-GB"/>
        </w:rPr>
        <w:t>,</w:t>
      </w:r>
      <w:r w:rsidR="000A419E" w:rsidRPr="00262711">
        <w:rPr>
          <w:lang w:val="en-GB"/>
        </w:rPr>
        <w:t xml:space="preserve"> confirm</w:t>
      </w:r>
      <w:r w:rsidR="00CA4387">
        <w:rPr>
          <w:lang w:val="en-GB"/>
        </w:rPr>
        <w:t>ing</w:t>
      </w:r>
      <w:r w:rsidR="000A419E" w:rsidRPr="00262711">
        <w:rPr>
          <w:lang w:val="en-GB"/>
        </w:rPr>
        <w:t xml:space="preserve"> the English language version of the RST-PQ</w:t>
      </w:r>
      <w:r w:rsidRPr="00262711">
        <w:rPr>
          <w:lang w:val="en-GB"/>
        </w:rPr>
        <w:t xml:space="preserve">. </w:t>
      </w:r>
      <w:r w:rsidR="00FD11C2" w:rsidRPr="00262711">
        <w:rPr>
          <w:lang w:val="en-GB"/>
        </w:rPr>
        <w:t>Convergent and discriminant validity</w:t>
      </w:r>
      <w:r w:rsidRPr="00262711">
        <w:rPr>
          <w:lang w:val="en-GB"/>
        </w:rPr>
        <w:t xml:space="preserve"> for the 6-factor structure </w:t>
      </w:r>
      <w:r w:rsidR="00FD11C2" w:rsidRPr="00262711">
        <w:rPr>
          <w:lang w:val="en-GB"/>
        </w:rPr>
        <w:t>was</w:t>
      </w:r>
      <w:r w:rsidRPr="00262711">
        <w:rPr>
          <w:lang w:val="en-GB"/>
        </w:rPr>
        <w:t xml:space="preserve"> </w:t>
      </w:r>
      <w:r w:rsidR="004549E6" w:rsidRPr="00262711">
        <w:rPr>
          <w:lang w:val="en-GB"/>
        </w:rPr>
        <w:t>demonstrated in relation to</w:t>
      </w:r>
      <w:r w:rsidRPr="00262711">
        <w:rPr>
          <w:lang w:val="en-GB"/>
        </w:rPr>
        <w:t xml:space="preserve"> existing personality scales. </w:t>
      </w:r>
      <w:r w:rsidR="000A419E" w:rsidRPr="00262711">
        <w:rPr>
          <w:lang w:val="en-GB"/>
        </w:rPr>
        <w:t>R</w:t>
      </w:r>
      <w:r w:rsidRPr="00262711">
        <w:rPr>
          <w:lang w:val="en-GB"/>
        </w:rPr>
        <w:t xml:space="preserve">esults </w:t>
      </w:r>
      <w:r w:rsidR="00074D75" w:rsidRPr="00262711">
        <w:rPr>
          <w:lang w:val="en-GB"/>
        </w:rPr>
        <w:t>showed</w:t>
      </w:r>
      <w:r w:rsidRPr="00262711">
        <w:rPr>
          <w:lang w:val="en-GB"/>
        </w:rPr>
        <w:t xml:space="preserve"> that the German version of the RST-PQ is a reliable and valid</w:t>
      </w:r>
      <w:r w:rsidR="0085565E" w:rsidRPr="00262711">
        <w:rPr>
          <w:lang w:val="en-GB"/>
        </w:rPr>
        <w:t xml:space="preserve"> self-report</w:t>
      </w:r>
      <w:r w:rsidRPr="00262711">
        <w:rPr>
          <w:lang w:val="en-GB"/>
        </w:rPr>
        <w:t xml:space="preserve"> measure of the revised </w:t>
      </w:r>
      <w:r w:rsidR="00FD11C2" w:rsidRPr="00262711">
        <w:rPr>
          <w:lang w:val="en-GB"/>
        </w:rPr>
        <w:t>Reinforcement S</w:t>
      </w:r>
      <w:r w:rsidRPr="00262711">
        <w:rPr>
          <w:lang w:val="en-GB"/>
        </w:rPr>
        <w:t xml:space="preserve">ensitivity </w:t>
      </w:r>
      <w:r w:rsidR="00FD11C2" w:rsidRPr="00262711">
        <w:rPr>
          <w:lang w:val="en-GB"/>
        </w:rPr>
        <w:t>T</w:t>
      </w:r>
      <w:r w:rsidRPr="00262711">
        <w:rPr>
          <w:lang w:val="en-GB"/>
        </w:rPr>
        <w:t>heory (rRST) of personality</w:t>
      </w:r>
      <w:r w:rsidR="00FD11C2" w:rsidRPr="00262711">
        <w:rPr>
          <w:lang w:val="en-GB"/>
        </w:rPr>
        <w:t>.</w:t>
      </w:r>
      <w:r w:rsidRPr="00262711">
        <w:rPr>
          <w:lang w:val="en-GB"/>
        </w:rPr>
        <w:t xml:space="preserve"> </w:t>
      </w:r>
      <w:r w:rsidR="00FD11C2" w:rsidRPr="00262711">
        <w:rPr>
          <w:lang w:val="en-GB"/>
        </w:rPr>
        <w:t>The RST-PQ may</w:t>
      </w:r>
      <w:r w:rsidRPr="00262711">
        <w:rPr>
          <w:lang w:val="en-GB"/>
        </w:rPr>
        <w:t xml:space="preserve"> facilitate future research on rRST </w:t>
      </w:r>
      <w:r w:rsidR="00FD11C2" w:rsidRPr="00262711">
        <w:rPr>
          <w:lang w:val="en-GB"/>
        </w:rPr>
        <w:t xml:space="preserve">specifically </w:t>
      </w:r>
      <w:r w:rsidRPr="00262711">
        <w:rPr>
          <w:lang w:val="en-GB"/>
        </w:rPr>
        <w:t>and, more broadly, on approach-avoidance theories of personality</w:t>
      </w:r>
      <w:r w:rsidR="00FD11C2" w:rsidRPr="00262711">
        <w:rPr>
          <w:lang w:val="en-GB"/>
        </w:rPr>
        <w:t xml:space="preserve"> using German language samples</w:t>
      </w:r>
      <w:r w:rsidRPr="00262711">
        <w:rPr>
          <w:lang w:val="en-GB"/>
        </w:rPr>
        <w:t>.</w:t>
      </w:r>
    </w:p>
    <w:p w14:paraId="66A9E251" w14:textId="77777777" w:rsidR="00074D75" w:rsidRPr="00262711" w:rsidRDefault="00074D75" w:rsidP="00BD0543">
      <w:pPr>
        <w:spacing w:line="480" w:lineRule="auto"/>
        <w:ind w:firstLine="720"/>
        <w:rPr>
          <w:lang w:val="en-GB"/>
        </w:rPr>
      </w:pPr>
    </w:p>
    <w:p w14:paraId="66A9E252" w14:textId="77777777" w:rsidR="003601EB" w:rsidRDefault="00DB3892" w:rsidP="001A61F4">
      <w:pPr>
        <w:spacing w:line="480" w:lineRule="auto"/>
        <w:rPr>
          <w:lang w:val="en-GB"/>
        </w:rPr>
      </w:pPr>
      <w:r w:rsidRPr="00262711">
        <w:rPr>
          <w:i/>
          <w:iCs/>
          <w:lang w:val="en-GB"/>
        </w:rPr>
        <w:t xml:space="preserve">Keywords: </w:t>
      </w:r>
      <w:r w:rsidR="00074D75" w:rsidRPr="00262711">
        <w:rPr>
          <w:iCs/>
          <w:lang w:val="en-GB"/>
        </w:rPr>
        <w:t xml:space="preserve">RST-PQ; </w:t>
      </w:r>
      <w:r w:rsidRPr="00262711">
        <w:rPr>
          <w:lang w:val="en-GB"/>
        </w:rPr>
        <w:t>approach</w:t>
      </w:r>
      <w:r w:rsidR="00074D75" w:rsidRPr="00262711">
        <w:rPr>
          <w:lang w:val="en-GB"/>
        </w:rPr>
        <w:t>;</w:t>
      </w:r>
      <w:r w:rsidRPr="00262711">
        <w:rPr>
          <w:lang w:val="en-GB"/>
        </w:rPr>
        <w:t xml:space="preserve"> avoidance</w:t>
      </w:r>
      <w:r w:rsidR="00074D75" w:rsidRPr="00262711">
        <w:rPr>
          <w:lang w:val="en-GB"/>
        </w:rPr>
        <w:t>;</w:t>
      </w:r>
      <w:r w:rsidRPr="00262711">
        <w:rPr>
          <w:lang w:val="en-GB"/>
        </w:rPr>
        <w:t xml:space="preserve"> </w:t>
      </w:r>
      <w:r w:rsidR="00EA0F9C" w:rsidRPr="00262711">
        <w:rPr>
          <w:lang w:val="en-GB"/>
        </w:rPr>
        <w:t xml:space="preserve">BIS; FFFS; BAS; </w:t>
      </w:r>
      <w:r w:rsidRPr="00262711">
        <w:rPr>
          <w:lang w:val="en-GB"/>
        </w:rPr>
        <w:t>goal conflict</w:t>
      </w:r>
      <w:r w:rsidR="00074D75" w:rsidRPr="00262711">
        <w:rPr>
          <w:lang w:val="en-GB"/>
        </w:rPr>
        <w:t>;</w:t>
      </w:r>
      <w:r w:rsidRPr="00262711">
        <w:rPr>
          <w:lang w:val="en-GB"/>
        </w:rPr>
        <w:t xml:space="preserve"> </w:t>
      </w:r>
      <w:r w:rsidR="00E40E6D" w:rsidRPr="00262711">
        <w:rPr>
          <w:lang w:val="en-GB"/>
        </w:rPr>
        <w:t>Reinforcement S</w:t>
      </w:r>
      <w:r w:rsidRPr="00262711">
        <w:rPr>
          <w:lang w:val="en-GB"/>
        </w:rPr>
        <w:t xml:space="preserve">ensitivity </w:t>
      </w:r>
      <w:r w:rsidR="00E40E6D" w:rsidRPr="00262711">
        <w:rPr>
          <w:lang w:val="en-GB"/>
        </w:rPr>
        <w:t>T</w:t>
      </w:r>
      <w:r w:rsidRPr="00262711">
        <w:rPr>
          <w:lang w:val="en-GB"/>
        </w:rPr>
        <w:t>heory</w:t>
      </w:r>
      <w:r w:rsidR="00074D75" w:rsidRPr="00262711">
        <w:rPr>
          <w:lang w:val="en-GB"/>
        </w:rPr>
        <w:t>.</w:t>
      </w:r>
    </w:p>
    <w:p w14:paraId="66A9E253" w14:textId="77777777" w:rsidR="00BA50D8" w:rsidRPr="00262711" w:rsidRDefault="00BA50D8" w:rsidP="001A61F4">
      <w:pPr>
        <w:spacing w:line="480" w:lineRule="auto"/>
        <w:rPr>
          <w:lang w:val="en-GB"/>
        </w:rPr>
      </w:pPr>
    </w:p>
    <w:p w14:paraId="66A9E254" w14:textId="77777777" w:rsidR="003601EB" w:rsidRPr="00262711" w:rsidRDefault="00DB3892" w:rsidP="001A61F4">
      <w:pPr>
        <w:spacing w:line="480" w:lineRule="auto"/>
        <w:ind w:firstLine="720"/>
        <w:rPr>
          <w:lang w:val="en-GB"/>
        </w:rPr>
      </w:pPr>
      <w:r w:rsidRPr="00262711">
        <w:rPr>
          <w:lang w:val="en-GB"/>
        </w:rPr>
        <w:br w:type="page"/>
      </w:r>
    </w:p>
    <w:p w14:paraId="66A9E255" w14:textId="77777777" w:rsidR="003601EB" w:rsidRPr="00262711" w:rsidRDefault="003601EB" w:rsidP="001A61F4">
      <w:pPr>
        <w:spacing w:line="480" w:lineRule="auto"/>
        <w:ind w:firstLine="720"/>
        <w:rPr>
          <w:lang w:val="en-GB"/>
        </w:rPr>
      </w:pPr>
    </w:p>
    <w:p w14:paraId="66A9E256" w14:textId="77777777" w:rsidR="00CD435B" w:rsidRPr="00262711" w:rsidRDefault="002147F5" w:rsidP="00880C77">
      <w:pPr>
        <w:spacing w:line="480" w:lineRule="auto"/>
        <w:rPr>
          <w:lang w:val="en-GB" w:eastAsia="en-GB"/>
        </w:rPr>
      </w:pPr>
      <w:r w:rsidRPr="00262711">
        <w:rPr>
          <w:lang w:val="en-GB"/>
        </w:rPr>
        <w:t>The Reinforcement Sensitivity Theory (RST) is one of the more</w:t>
      </w:r>
      <w:r w:rsidR="00657C5A" w:rsidRPr="00262711">
        <w:rPr>
          <w:lang w:val="en-GB"/>
        </w:rPr>
        <w:t xml:space="preserve"> </w:t>
      </w:r>
      <w:r w:rsidRPr="00262711">
        <w:rPr>
          <w:lang w:val="en-GB"/>
        </w:rPr>
        <w:t>prominent</w:t>
      </w:r>
      <w:r w:rsidR="00455F3A" w:rsidRPr="00262711">
        <w:rPr>
          <w:lang w:val="en-GB"/>
        </w:rPr>
        <w:t xml:space="preserve"> </w:t>
      </w:r>
      <w:r w:rsidRPr="00262711">
        <w:rPr>
          <w:lang w:val="en-GB"/>
        </w:rPr>
        <w:t xml:space="preserve">theories </w:t>
      </w:r>
      <w:r w:rsidR="0048567E" w:rsidRPr="00262711">
        <w:rPr>
          <w:lang w:val="en-GB"/>
        </w:rPr>
        <w:t>of personality</w:t>
      </w:r>
      <w:r w:rsidR="00657C5A" w:rsidRPr="00262711">
        <w:rPr>
          <w:lang w:val="en-GB"/>
        </w:rPr>
        <w:t>, especially among the biologically</w:t>
      </w:r>
      <w:r w:rsidR="00880C77" w:rsidRPr="00262711">
        <w:rPr>
          <w:lang w:val="en-GB"/>
        </w:rPr>
        <w:t xml:space="preserve"> </w:t>
      </w:r>
      <w:r w:rsidR="00657C5A" w:rsidRPr="00262711">
        <w:rPr>
          <w:lang w:val="en-GB"/>
        </w:rPr>
        <w:t>inspired family</w:t>
      </w:r>
      <w:r w:rsidR="00DF20FA" w:rsidRPr="00262711">
        <w:rPr>
          <w:lang w:val="en-GB"/>
        </w:rPr>
        <w:t xml:space="preserve"> (</w:t>
      </w:r>
      <w:r w:rsidR="00DF20FA" w:rsidRPr="00262711">
        <w:rPr>
          <w:lang w:val="en-GB" w:eastAsia="en-GB"/>
        </w:rPr>
        <w:t xml:space="preserve">Collins, Jackson, Walker, O’Connor, &amp; Gardiner, 2016). </w:t>
      </w:r>
      <w:r w:rsidR="0048567E" w:rsidRPr="00262711">
        <w:rPr>
          <w:lang w:val="en-GB"/>
        </w:rPr>
        <w:t xml:space="preserve">It </w:t>
      </w:r>
      <w:r w:rsidR="00657C5A" w:rsidRPr="00262711">
        <w:rPr>
          <w:lang w:val="en-GB"/>
        </w:rPr>
        <w:t>postulates</w:t>
      </w:r>
      <w:r w:rsidR="0048567E" w:rsidRPr="00262711">
        <w:rPr>
          <w:lang w:val="en-GB"/>
        </w:rPr>
        <w:t xml:space="preserve"> that</w:t>
      </w:r>
      <w:r w:rsidR="00455F3A" w:rsidRPr="00262711">
        <w:rPr>
          <w:lang w:val="en-GB"/>
        </w:rPr>
        <w:t xml:space="preserve"> </w:t>
      </w:r>
      <w:r w:rsidR="00657C5A" w:rsidRPr="00262711">
        <w:rPr>
          <w:lang w:val="en-GB"/>
        </w:rPr>
        <w:t xml:space="preserve">the source of the </w:t>
      </w:r>
      <w:r w:rsidR="00455F3A" w:rsidRPr="00262711">
        <w:rPr>
          <w:lang w:val="en-GB"/>
        </w:rPr>
        <w:t xml:space="preserve">variation </w:t>
      </w:r>
      <w:r w:rsidR="00657C5A" w:rsidRPr="00262711">
        <w:rPr>
          <w:lang w:val="en-GB"/>
        </w:rPr>
        <w:t xml:space="preserve">observed </w:t>
      </w:r>
      <w:r w:rsidR="00455F3A" w:rsidRPr="00262711">
        <w:rPr>
          <w:lang w:val="en-GB"/>
        </w:rPr>
        <w:t xml:space="preserve">in </w:t>
      </w:r>
      <w:r w:rsidR="00657C5A" w:rsidRPr="00262711">
        <w:rPr>
          <w:lang w:val="en-GB"/>
        </w:rPr>
        <w:t xml:space="preserve">the surface structure of </w:t>
      </w:r>
      <w:r w:rsidR="00455F3A" w:rsidRPr="00262711">
        <w:rPr>
          <w:lang w:val="en-GB"/>
        </w:rPr>
        <w:t xml:space="preserve">personality </w:t>
      </w:r>
      <w:r w:rsidR="00657C5A" w:rsidRPr="00262711">
        <w:rPr>
          <w:lang w:val="en-GB"/>
        </w:rPr>
        <w:t>reside</w:t>
      </w:r>
      <w:r w:rsidR="00CD435B" w:rsidRPr="00262711">
        <w:rPr>
          <w:lang w:val="en-GB"/>
        </w:rPr>
        <w:t>s</w:t>
      </w:r>
      <w:r w:rsidR="00657C5A" w:rsidRPr="00262711">
        <w:rPr>
          <w:lang w:val="en-GB"/>
        </w:rPr>
        <w:t xml:space="preserve"> in</w:t>
      </w:r>
      <w:r w:rsidR="00455F3A" w:rsidRPr="00262711">
        <w:rPr>
          <w:lang w:val="en-GB"/>
        </w:rPr>
        <w:t xml:space="preserve"> neurobehavioural systems responsible for appetitive and aversive motivation </w:t>
      </w:r>
      <w:r w:rsidR="0048567E" w:rsidRPr="00262711">
        <w:rPr>
          <w:lang w:val="en-GB"/>
        </w:rPr>
        <w:t>(</w:t>
      </w:r>
      <w:r w:rsidR="00CD435B" w:rsidRPr="00262711">
        <w:rPr>
          <w:lang w:val="en-GB"/>
        </w:rPr>
        <w:t>Corr, 2016;</w:t>
      </w:r>
      <w:r w:rsidR="00455F3A" w:rsidRPr="00262711">
        <w:rPr>
          <w:lang w:val="en-GB"/>
        </w:rPr>
        <w:t xml:space="preserve"> Gray &amp; McNaughton, 2000; McNaughton &amp; Corr, 2004, 2008). </w:t>
      </w:r>
      <w:r w:rsidR="00931EA5" w:rsidRPr="00262711">
        <w:rPr>
          <w:lang w:val="en-GB"/>
        </w:rPr>
        <w:t>The most recent version of RST postulates three major ne</w:t>
      </w:r>
      <w:r w:rsidR="00A43767" w:rsidRPr="00262711">
        <w:rPr>
          <w:lang w:val="en-GB"/>
        </w:rPr>
        <w:t>uropsychological systems</w:t>
      </w:r>
      <w:r w:rsidR="00931EA5" w:rsidRPr="00262711">
        <w:rPr>
          <w:lang w:val="en-GB"/>
        </w:rPr>
        <w:t xml:space="preserve">: the </w:t>
      </w:r>
      <w:r w:rsidR="006C1399">
        <w:rPr>
          <w:lang w:val="en-GB"/>
        </w:rPr>
        <w:t>behaviour</w:t>
      </w:r>
      <w:r w:rsidR="00931EA5" w:rsidRPr="00262711">
        <w:rPr>
          <w:lang w:val="en-GB"/>
        </w:rPr>
        <w:t xml:space="preserve">al approach system (BAS), the fight-flight-freeze system (FFFS) and the </w:t>
      </w:r>
      <w:r w:rsidR="006C1399">
        <w:rPr>
          <w:lang w:val="en-GB"/>
        </w:rPr>
        <w:t>behaviour</w:t>
      </w:r>
      <w:r w:rsidR="00931EA5" w:rsidRPr="00262711">
        <w:rPr>
          <w:lang w:val="en-GB"/>
        </w:rPr>
        <w:t>al inhibition system (BIS; Gray &amp; McNaughton, 2000).</w:t>
      </w:r>
      <w:r w:rsidR="00ED7492" w:rsidRPr="00262711">
        <w:rPr>
          <w:lang w:val="en-GB"/>
        </w:rPr>
        <w:t xml:space="preserve"> </w:t>
      </w:r>
      <w:r w:rsidR="00CD435B" w:rsidRPr="00262711">
        <w:rPr>
          <w:lang w:val="en-GB"/>
        </w:rPr>
        <w:t xml:space="preserve">As highlighted by Corr </w:t>
      </w:r>
      <w:r w:rsidR="00DD6191">
        <w:rPr>
          <w:lang w:val="en-GB"/>
        </w:rPr>
        <w:t>and</w:t>
      </w:r>
      <w:r w:rsidR="00CD435B" w:rsidRPr="00262711">
        <w:rPr>
          <w:lang w:val="en-GB"/>
        </w:rPr>
        <w:t xml:space="preserve"> McNaughton (2012), these biobehavioural systems are activated by stimuli appraised as reflecting either gain or loss</w:t>
      </w:r>
      <w:r w:rsidR="006B25D7">
        <w:rPr>
          <w:lang w:val="en-GB"/>
        </w:rPr>
        <w:t xml:space="preserve"> – it is these</w:t>
      </w:r>
      <w:r w:rsidR="00CD435B" w:rsidRPr="00262711">
        <w:rPr>
          <w:lang w:val="en-GB"/>
        </w:rPr>
        <w:t xml:space="preserve"> attractors and repulsors</w:t>
      </w:r>
      <w:r w:rsidR="006B25D7">
        <w:rPr>
          <w:lang w:val="en-GB"/>
        </w:rPr>
        <w:t xml:space="preserve">, respectively, that activate the biobehavioural </w:t>
      </w:r>
      <w:r w:rsidR="00CD435B" w:rsidRPr="00262711">
        <w:rPr>
          <w:lang w:val="en-GB"/>
        </w:rPr>
        <w:t>systems.</w:t>
      </w:r>
    </w:p>
    <w:p w14:paraId="66A9E257" w14:textId="77777777" w:rsidR="003601EB" w:rsidRPr="00262711" w:rsidRDefault="00BA5413" w:rsidP="001A61F4">
      <w:pPr>
        <w:spacing w:line="480" w:lineRule="auto"/>
        <w:ind w:firstLine="720"/>
        <w:rPr>
          <w:lang w:val="en-GB"/>
        </w:rPr>
      </w:pPr>
      <w:r w:rsidRPr="00262711">
        <w:rPr>
          <w:lang w:val="en-GB"/>
        </w:rPr>
        <w:t>More specifically, t</w:t>
      </w:r>
      <w:r w:rsidR="00ED7492" w:rsidRPr="00262711">
        <w:rPr>
          <w:lang w:val="en-GB"/>
        </w:rPr>
        <w:t>he BAS is activated by a</w:t>
      </w:r>
      <w:r w:rsidRPr="00262711">
        <w:rPr>
          <w:lang w:val="en-GB"/>
        </w:rPr>
        <w:t>ttractor</w:t>
      </w:r>
      <w:r w:rsidR="00ED7492" w:rsidRPr="00262711">
        <w:rPr>
          <w:lang w:val="en-GB"/>
        </w:rPr>
        <w:t xml:space="preserve"> stimuli; the FFFS by </w:t>
      </w:r>
      <w:r w:rsidRPr="00262711">
        <w:rPr>
          <w:lang w:val="en-GB"/>
        </w:rPr>
        <w:t>repulsor</w:t>
      </w:r>
      <w:r w:rsidR="00880C77" w:rsidRPr="00262711">
        <w:rPr>
          <w:lang w:val="en-GB"/>
        </w:rPr>
        <w:t xml:space="preserve"> </w:t>
      </w:r>
      <w:r w:rsidR="00ED7492" w:rsidRPr="00262711">
        <w:rPr>
          <w:lang w:val="en-GB"/>
        </w:rPr>
        <w:t>stimuli; and the B</w:t>
      </w:r>
      <w:r w:rsidR="00863BBB">
        <w:rPr>
          <w:lang w:val="en-GB"/>
        </w:rPr>
        <w:t>IS by conflicting stimuli (e.g.</w:t>
      </w:r>
      <w:r w:rsidR="00ED7492" w:rsidRPr="00262711">
        <w:rPr>
          <w:lang w:val="en-GB"/>
        </w:rPr>
        <w:t xml:space="preserve"> coactivation of FFFS and BAS). </w:t>
      </w:r>
      <w:r w:rsidR="002B5024" w:rsidRPr="00262711">
        <w:rPr>
          <w:lang w:val="en-GB"/>
        </w:rPr>
        <w:t xml:space="preserve">The current version of RST is a revision of the original model of RST based on </w:t>
      </w:r>
      <w:r w:rsidR="00820321" w:rsidRPr="00262711">
        <w:rPr>
          <w:lang w:val="en-GB"/>
        </w:rPr>
        <w:t xml:space="preserve">the work of </w:t>
      </w:r>
      <w:r w:rsidR="002B5024" w:rsidRPr="00262711">
        <w:rPr>
          <w:lang w:val="en-GB"/>
        </w:rPr>
        <w:t>Gray (</w:t>
      </w:r>
      <w:r w:rsidR="00880C77" w:rsidRPr="00262711">
        <w:rPr>
          <w:lang w:val="en-GB"/>
        </w:rPr>
        <w:t xml:space="preserve">e.g. </w:t>
      </w:r>
      <w:r w:rsidR="002B5024" w:rsidRPr="00262711">
        <w:rPr>
          <w:lang w:val="en-GB"/>
        </w:rPr>
        <w:t>Gray, 1982).</w:t>
      </w:r>
      <w:r w:rsidR="00820321" w:rsidRPr="00262711">
        <w:rPr>
          <w:lang w:val="en-GB"/>
        </w:rPr>
        <w:t xml:space="preserve"> </w:t>
      </w:r>
      <w:r w:rsidR="00585793" w:rsidRPr="00262711">
        <w:rPr>
          <w:lang w:val="en-GB"/>
        </w:rPr>
        <w:t>The most significant change in revised RST (rRST) is the separation of FFFS/fear and BIS/anxiety processes, which are postulated to have different functional properties and distinct neuropsychopharmacological bases (Corr &amp; McNaughton, 2012; McNaughton &amp; Corr, 2004, 2008</w:t>
      </w:r>
      <w:r w:rsidR="00880C77" w:rsidRPr="00262711">
        <w:rPr>
          <w:lang w:val="en-GB"/>
        </w:rPr>
        <w:t>; Perkins</w:t>
      </w:r>
      <w:r w:rsidR="009B6778">
        <w:rPr>
          <w:lang w:val="en-GB"/>
        </w:rPr>
        <w:t xml:space="preserve"> et al.</w:t>
      </w:r>
      <w:r w:rsidR="00863BBB">
        <w:rPr>
          <w:lang w:val="en-GB"/>
        </w:rPr>
        <w:t xml:space="preserve">, </w:t>
      </w:r>
      <w:r w:rsidR="00880C77" w:rsidRPr="00262711">
        <w:rPr>
          <w:lang w:val="en-GB"/>
        </w:rPr>
        <w:t>2009</w:t>
      </w:r>
      <w:r w:rsidR="00585793" w:rsidRPr="00262711">
        <w:rPr>
          <w:lang w:val="en-GB"/>
        </w:rPr>
        <w:t>)</w:t>
      </w:r>
      <w:r w:rsidR="002A33BD">
        <w:rPr>
          <w:lang w:val="en-GB"/>
        </w:rPr>
        <w:t xml:space="preserve"> – there have also been refinements to the structure of the BAS (Corr, 2016)</w:t>
      </w:r>
      <w:r w:rsidR="00585793" w:rsidRPr="00262711">
        <w:rPr>
          <w:lang w:val="en-GB"/>
        </w:rPr>
        <w:t>.</w:t>
      </w:r>
      <w:r w:rsidR="002B5024" w:rsidRPr="00262711">
        <w:rPr>
          <w:lang w:val="en-GB"/>
        </w:rPr>
        <w:t xml:space="preserve"> </w:t>
      </w:r>
    </w:p>
    <w:p w14:paraId="66A9E258" w14:textId="578BDCCD" w:rsidR="003601EB" w:rsidRPr="00262711" w:rsidRDefault="00237120">
      <w:pPr>
        <w:spacing w:line="480" w:lineRule="auto"/>
        <w:ind w:firstLine="720"/>
        <w:rPr>
          <w:lang w:val="en-GB"/>
        </w:rPr>
      </w:pPr>
      <w:r w:rsidRPr="00262711">
        <w:rPr>
          <w:lang w:val="en-GB"/>
        </w:rPr>
        <w:t xml:space="preserve">One issue that has hampered progress in the development of </w:t>
      </w:r>
      <w:r w:rsidR="00585793" w:rsidRPr="00262711">
        <w:rPr>
          <w:lang w:val="en-GB"/>
        </w:rPr>
        <w:t>r</w:t>
      </w:r>
      <w:r w:rsidRPr="00262711">
        <w:rPr>
          <w:lang w:val="en-GB"/>
        </w:rPr>
        <w:t xml:space="preserve">RST </w:t>
      </w:r>
      <w:r w:rsidR="00856A2A" w:rsidRPr="00262711">
        <w:rPr>
          <w:lang w:val="en-GB"/>
        </w:rPr>
        <w:t xml:space="preserve">in human research </w:t>
      </w:r>
      <w:r w:rsidR="004C2E5C">
        <w:rPr>
          <w:lang w:val="en-GB"/>
        </w:rPr>
        <w:t>is the</w:t>
      </w:r>
      <w:r w:rsidRPr="00262711">
        <w:rPr>
          <w:lang w:val="en-GB"/>
        </w:rPr>
        <w:t xml:space="preserve"> lack</w:t>
      </w:r>
      <w:r w:rsidR="00BA6157" w:rsidRPr="00262711">
        <w:rPr>
          <w:lang w:val="en-GB"/>
        </w:rPr>
        <w:t xml:space="preserve"> of</w:t>
      </w:r>
      <w:r w:rsidRPr="00262711">
        <w:rPr>
          <w:lang w:val="en-GB"/>
        </w:rPr>
        <w:t xml:space="preserve"> suitable self-report </w:t>
      </w:r>
      <w:r w:rsidR="00856A2A" w:rsidRPr="00262711">
        <w:rPr>
          <w:lang w:val="en-GB"/>
        </w:rPr>
        <w:t xml:space="preserve">personality </w:t>
      </w:r>
      <w:r w:rsidRPr="00262711">
        <w:rPr>
          <w:lang w:val="en-GB"/>
        </w:rPr>
        <w:t xml:space="preserve">measures </w:t>
      </w:r>
      <w:r w:rsidR="00856A2A" w:rsidRPr="00262711">
        <w:rPr>
          <w:lang w:val="en-GB"/>
        </w:rPr>
        <w:t xml:space="preserve">consistent with </w:t>
      </w:r>
      <w:r w:rsidR="00BA5413" w:rsidRPr="00262711">
        <w:rPr>
          <w:lang w:val="en-GB"/>
        </w:rPr>
        <w:t>its</w:t>
      </w:r>
      <w:r w:rsidR="00856A2A" w:rsidRPr="00262711">
        <w:rPr>
          <w:lang w:val="en-GB"/>
        </w:rPr>
        <w:t xml:space="preserve"> theoretical tenets. </w:t>
      </w:r>
      <w:r w:rsidR="00EB4913" w:rsidRPr="00262711">
        <w:rPr>
          <w:lang w:val="en-GB"/>
        </w:rPr>
        <w:t xml:space="preserve">Much research </w:t>
      </w:r>
      <w:r w:rsidR="000C6826" w:rsidRPr="00262711">
        <w:rPr>
          <w:lang w:val="en-GB"/>
        </w:rPr>
        <w:t>con</w:t>
      </w:r>
      <w:r w:rsidR="00EB4913" w:rsidRPr="00262711">
        <w:rPr>
          <w:lang w:val="en-GB"/>
        </w:rPr>
        <w:t xml:space="preserve">tinues to use measures that were initially developed using the original model of RST (e.g. the BIS/BAS Scales; Carver &amp; White, 1994). </w:t>
      </w:r>
      <w:r w:rsidR="000D0E8B" w:rsidRPr="00262711">
        <w:rPr>
          <w:lang w:val="en-GB"/>
        </w:rPr>
        <w:t xml:space="preserve">More recently, there have been several </w:t>
      </w:r>
      <w:r w:rsidR="004C2E5C">
        <w:rPr>
          <w:lang w:val="en-GB"/>
        </w:rPr>
        <w:t xml:space="preserve">attempts to </w:t>
      </w:r>
      <w:r w:rsidR="00BA50D8">
        <w:rPr>
          <w:lang w:val="en-GB"/>
        </w:rPr>
        <w:t xml:space="preserve">develop </w:t>
      </w:r>
      <w:r w:rsidR="000D0E8B" w:rsidRPr="00262711">
        <w:rPr>
          <w:lang w:val="en-GB"/>
        </w:rPr>
        <w:t xml:space="preserve">self-report measures that align </w:t>
      </w:r>
      <w:r w:rsidR="00C56EFB" w:rsidRPr="00262711">
        <w:rPr>
          <w:lang w:val="en-GB"/>
        </w:rPr>
        <w:t xml:space="preserve">more closely </w:t>
      </w:r>
      <w:r w:rsidR="000D0E8B" w:rsidRPr="00262711">
        <w:rPr>
          <w:lang w:val="en-GB"/>
        </w:rPr>
        <w:t>with rRST</w:t>
      </w:r>
      <w:r w:rsidR="00C56EFB" w:rsidRPr="00262711">
        <w:rPr>
          <w:lang w:val="en-GB"/>
        </w:rPr>
        <w:t xml:space="preserve">, including the Jackson 5 (Jackson, 2009) and </w:t>
      </w:r>
      <w:r w:rsidR="00B60C33" w:rsidRPr="00262711">
        <w:rPr>
          <w:lang w:val="en-GB"/>
        </w:rPr>
        <w:t>the rRST-Q</w:t>
      </w:r>
      <w:r w:rsidR="00BA5413" w:rsidRPr="00262711">
        <w:rPr>
          <w:lang w:val="en-GB"/>
        </w:rPr>
        <w:t xml:space="preserve"> </w:t>
      </w:r>
      <w:r w:rsidR="0048567E" w:rsidRPr="00262711">
        <w:rPr>
          <w:lang w:val="en-GB"/>
        </w:rPr>
        <w:t>(</w:t>
      </w:r>
      <w:r w:rsidR="00C56EFB" w:rsidRPr="00262711">
        <w:rPr>
          <w:lang w:val="en-GB"/>
        </w:rPr>
        <w:t xml:space="preserve">Reuter, Cooper, Smillie, Markett, </w:t>
      </w:r>
      <w:r w:rsidR="00DF20FA" w:rsidRPr="00262711">
        <w:rPr>
          <w:lang w:val="en-GB"/>
        </w:rPr>
        <w:t>&amp;</w:t>
      </w:r>
      <w:r w:rsidR="00C56EFB" w:rsidRPr="00262711">
        <w:rPr>
          <w:lang w:val="en-GB"/>
        </w:rPr>
        <w:t xml:space="preserve"> </w:t>
      </w:r>
      <w:r w:rsidR="00C56EFB" w:rsidRPr="00262711">
        <w:rPr>
          <w:lang w:val="en-GB"/>
        </w:rPr>
        <w:lastRenderedPageBreak/>
        <w:t>Montag</w:t>
      </w:r>
      <w:r w:rsidR="00F73DBD">
        <w:rPr>
          <w:lang w:val="en-GB"/>
        </w:rPr>
        <w:t xml:space="preserve">, </w:t>
      </w:r>
      <w:r w:rsidR="00C56EFB" w:rsidRPr="00262711">
        <w:rPr>
          <w:lang w:val="en-GB"/>
        </w:rPr>
        <w:t>2015)</w:t>
      </w:r>
      <w:r w:rsidR="000D0E8B" w:rsidRPr="00262711">
        <w:rPr>
          <w:lang w:val="en-GB"/>
        </w:rPr>
        <w:t>.</w:t>
      </w:r>
      <w:r w:rsidR="00BE3EC8" w:rsidRPr="00262711">
        <w:rPr>
          <w:lang w:val="en-GB"/>
        </w:rPr>
        <w:t xml:space="preserve"> </w:t>
      </w:r>
      <w:r w:rsidR="00C56EFB" w:rsidRPr="00262711">
        <w:rPr>
          <w:lang w:val="en-GB"/>
        </w:rPr>
        <w:t xml:space="preserve">While </w:t>
      </w:r>
      <w:r w:rsidR="005977D4" w:rsidRPr="00262711">
        <w:rPr>
          <w:lang w:val="en-GB"/>
        </w:rPr>
        <w:t>the development of these measures represents a step forward in terms of testing rRST, the</w:t>
      </w:r>
      <w:r w:rsidR="00BE3EC8" w:rsidRPr="00262711">
        <w:rPr>
          <w:lang w:val="en-GB"/>
        </w:rPr>
        <w:t>y have</w:t>
      </w:r>
      <w:r w:rsidR="005977D4" w:rsidRPr="00262711">
        <w:rPr>
          <w:lang w:val="en-GB"/>
        </w:rPr>
        <w:t xml:space="preserve"> several potential limitations. For example, both measures only have one factor for the BAS, and the Fight scales tend to positively correlate </w:t>
      </w:r>
      <w:r w:rsidR="00BE3EC8" w:rsidRPr="00262711">
        <w:rPr>
          <w:lang w:val="en-GB"/>
        </w:rPr>
        <w:t xml:space="preserve">more strongly </w:t>
      </w:r>
      <w:r w:rsidR="005977D4" w:rsidRPr="00262711">
        <w:rPr>
          <w:lang w:val="en-GB"/>
        </w:rPr>
        <w:t>with the BAS</w:t>
      </w:r>
      <w:r w:rsidR="0048567E" w:rsidRPr="00262711">
        <w:rPr>
          <w:lang w:val="en-GB"/>
        </w:rPr>
        <w:t xml:space="preserve"> </w:t>
      </w:r>
      <w:r w:rsidR="00BE3EC8" w:rsidRPr="00262711">
        <w:rPr>
          <w:lang w:val="en-GB"/>
        </w:rPr>
        <w:t xml:space="preserve">rather </w:t>
      </w:r>
      <w:r w:rsidR="005977D4" w:rsidRPr="00262711">
        <w:rPr>
          <w:lang w:val="en-GB"/>
        </w:rPr>
        <w:t xml:space="preserve">than </w:t>
      </w:r>
      <w:r w:rsidR="00BE3EC8" w:rsidRPr="00262711">
        <w:rPr>
          <w:lang w:val="en-GB"/>
        </w:rPr>
        <w:t xml:space="preserve">the FFFS </w:t>
      </w:r>
      <w:r w:rsidR="005977D4" w:rsidRPr="00262711">
        <w:rPr>
          <w:lang w:val="en-GB"/>
        </w:rPr>
        <w:t>(see Corr, 2016, for a fuller summary and com</w:t>
      </w:r>
      <w:r w:rsidR="00BA50D8">
        <w:rPr>
          <w:lang w:val="en-GB"/>
        </w:rPr>
        <w:t>parison of RST questionnaires).</w:t>
      </w:r>
    </w:p>
    <w:p w14:paraId="66A9E259" w14:textId="77777777" w:rsidR="003601EB" w:rsidRPr="00262711" w:rsidRDefault="00184857">
      <w:pPr>
        <w:spacing w:line="480" w:lineRule="auto"/>
        <w:ind w:firstLine="720"/>
        <w:rPr>
          <w:lang w:val="en-GB"/>
        </w:rPr>
      </w:pPr>
      <w:r w:rsidRPr="00262711">
        <w:rPr>
          <w:lang w:val="en-GB"/>
        </w:rPr>
        <w:t>Another recent addition to the field of RST personality measure</w:t>
      </w:r>
      <w:r w:rsidR="0057479C" w:rsidRPr="00262711">
        <w:rPr>
          <w:lang w:val="en-GB"/>
        </w:rPr>
        <w:t>ment</w:t>
      </w:r>
      <w:r w:rsidRPr="00262711">
        <w:rPr>
          <w:lang w:val="en-GB"/>
        </w:rPr>
        <w:t xml:space="preserve"> is the Reinforcement Sensitivity Theory of Personality Questionnaire (RST-PQ; Corr &amp; Cooper, 2016). </w:t>
      </w:r>
      <w:r w:rsidR="00A63A0E" w:rsidRPr="00262711">
        <w:rPr>
          <w:lang w:val="en-GB"/>
        </w:rPr>
        <w:t xml:space="preserve">The RST-PQ was developed </w:t>
      </w:r>
      <w:r w:rsidR="00047B58" w:rsidRPr="00262711">
        <w:rPr>
          <w:lang w:val="en-GB"/>
        </w:rPr>
        <w:t>on the basis of thematic facets</w:t>
      </w:r>
      <w:r w:rsidR="00A63A0E" w:rsidRPr="00262711">
        <w:rPr>
          <w:lang w:val="en-GB"/>
        </w:rPr>
        <w:t xml:space="preserve"> consistent with the core features of rRST</w:t>
      </w:r>
      <w:r w:rsidR="00047B58" w:rsidRPr="00262711">
        <w:rPr>
          <w:lang w:val="en-GB"/>
        </w:rPr>
        <w:t xml:space="preserve">. </w:t>
      </w:r>
      <w:r w:rsidR="004A6B36" w:rsidRPr="00262711">
        <w:rPr>
          <w:lang w:val="en-GB"/>
        </w:rPr>
        <w:t xml:space="preserve">After </w:t>
      </w:r>
      <w:r w:rsidR="0057479C" w:rsidRPr="00262711">
        <w:rPr>
          <w:lang w:val="en-GB"/>
        </w:rPr>
        <w:t xml:space="preserve">the </w:t>
      </w:r>
      <w:r w:rsidR="004A6B36" w:rsidRPr="00262711">
        <w:rPr>
          <w:lang w:val="en-GB"/>
        </w:rPr>
        <w:t xml:space="preserve">development of a large pool of items, exploratory and confirmatory factor analyses were used to </w:t>
      </w:r>
      <w:r w:rsidR="00880C77" w:rsidRPr="00262711">
        <w:rPr>
          <w:lang w:val="en-GB"/>
        </w:rPr>
        <w:t>develop a</w:t>
      </w:r>
      <w:r w:rsidR="0057479C" w:rsidRPr="00262711">
        <w:rPr>
          <w:lang w:val="en-GB"/>
        </w:rPr>
        <w:t xml:space="preserve"> theoretically faithful </w:t>
      </w:r>
      <w:r w:rsidR="004A6B36" w:rsidRPr="00262711">
        <w:rPr>
          <w:lang w:val="en-GB"/>
        </w:rPr>
        <w:t xml:space="preserve">factor </w:t>
      </w:r>
      <w:r w:rsidR="001C1A00" w:rsidRPr="00262711">
        <w:rPr>
          <w:lang w:val="en-GB"/>
        </w:rPr>
        <w:t>structure</w:t>
      </w:r>
      <w:r w:rsidR="004A6B36" w:rsidRPr="00262711">
        <w:rPr>
          <w:lang w:val="en-GB"/>
        </w:rPr>
        <w:t xml:space="preserve"> (see Corr &amp; Cooper, 2016, for a much fuller description of the development of the items and the subsequent analyses). These analyses ultimately arrived at a six</w:t>
      </w:r>
      <w:r w:rsidR="0048567E" w:rsidRPr="00262711">
        <w:rPr>
          <w:lang w:val="en-GB"/>
        </w:rPr>
        <w:t>-</w:t>
      </w:r>
      <w:r w:rsidR="004A6B36" w:rsidRPr="00262711">
        <w:rPr>
          <w:lang w:val="en-GB"/>
        </w:rPr>
        <w:t xml:space="preserve">factor structure: </w:t>
      </w:r>
      <w:r w:rsidR="0048567E" w:rsidRPr="00262711">
        <w:rPr>
          <w:lang w:val="en-GB"/>
        </w:rPr>
        <w:t>four</w:t>
      </w:r>
      <w:r w:rsidR="004A6B36" w:rsidRPr="00262711">
        <w:rPr>
          <w:lang w:val="en-GB"/>
        </w:rPr>
        <w:t xml:space="preserve"> BAS factors (Reward Interest, Goal-Drive Persistence, Reward Reactivity, and Impulsivity), and </w:t>
      </w:r>
      <w:r w:rsidR="0048567E" w:rsidRPr="00262711">
        <w:rPr>
          <w:lang w:val="en-GB"/>
        </w:rPr>
        <w:t>two</w:t>
      </w:r>
      <w:r w:rsidR="004A6B36" w:rsidRPr="00262711">
        <w:rPr>
          <w:lang w:val="en-GB"/>
        </w:rPr>
        <w:t xml:space="preserve"> unitary defensive factors, FFFS </w:t>
      </w:r>
      <w:r w:rsidR="00F73DBD">
        <w:rPr>
          <w:lang w:val="en-GB"/>
        </w:rPr>
        <w:t>(</w:t>
      </w:r>
      <w:r w:rsidR="004A6B36" w:rsidRPr="00262711">
        <w:rPr>
          <w:lang w:val="en-GB"/>
        </w:rPr>
        <w:t xml:space="preserve">related to fear) and BIS </w:t>
      </w:r>
      <w:r w:rsidR="00F73DBD">
        <w:rPr>
          <w:lang w:val="en-GB"/>
        </w:rPr>
        <w:t>(</w:t>
      </w:r>
      <w:r w:rsidR="004A6B36" w:rsidRPr="00262711">
        <w:rPr>
          <w:lang w:val="en-GB"/>
        </w:rPr>
        <w:t xml:space="preserve">related to anxiety). </w:t>
      </w:r>
      <w:r w:rsidR="001C1A00" w:rsidRPr="00262711">
        <w:rPr>
          <w:lang w:val="en-GB"/>
        </w:rPr>
        <w:t>(An addition</w:t>
      </w:r>
      <w:r w:rsidR="008F1363" w:rsidRPr="00262711">
        <w:rPr>
          <w:lang w:val="en-GB"/>
        </w:rPr>
        <w:t>al</w:t>
      </w:r>
      <w:r w:rsidR="001C1A00" w:rsidRPr="00262711">
        <w:rPr>
          <w:lang w:val="en-GB"/>
        </w:rPr>
        <w:t xml:space="preserve"> Fight factor was developed to complement the RST-PQ – previous research shows this is a problematic construct in rRST</w:t>
      </w:r>
      <w:r w:rsidR="008F1363" w:rsidRPr="00262711">
        <w:rPr>
          <w:lang w:val="en-GB"/>
        </w:rPr>
        <w:t xml:space="preserve"> and needs to be kept separate</w:t>
      </w:r>
      <w:r w:rsidR="001C1A00" w:rsidRPr="00262711">
        <w:rPr>
          <w:lang w:val="en-GB"/>
        </w:rPr>
        <w:t>; see Corr, 2016.)</w:t>
      </w:r>
      <w:r w:rsidR="008F1363" w:rsidRPr="00262711">
        <w:rPr>
          <w:lang w:val="en-GB"/>
        </w:rPr>
        <w:t xml:space="preserve"> </w:t>
      </w:r>
      <w:r w:rsidR="00FE32DC" w:rsidRPr="00262711">
        <w:rPr>
          <w:lang w:val="en-GB"/>
        </w:rPr>
        <w:t xml:space="preserve">This structure was replicated across several large samples and </w:t>
      </w:r>
      <w:r w:rsidR="00141E19" w:rsidRPr="00262711">
        <w:rPr>
          <w:lang w:val="en-GB"/>
        </w:rPr>
        <w:t>its</w:t>
      </w:r>
      <w:r w:rsidR="00FE32DC" w:rsidRPr="00262711">
        <w:rPr>
          <w:lang w:val="en-GB"/>
        </w:rPr>
        <w:t xml:space="preserve"> factors showed good internal consistency. </w:t>
      </w:r>
      <w:r w:rsidR="008B68B2" w:rsidRPr="00262711">
        <w:rPr>
          <w:lang w:val="en-GB"/>
        </w:rPr>
        <w:t>Cronbach’s alpha values for BIS, FFFS, Reward Interest, Goal-Drive Persistence, Reward Reactivity, and Impulsivity were 0.9</w:t>
      </w:r>
      <w:r w:rsidR="008B68B2">
        <w:rPr>
          <w:lang w:val="en-GB"/>
        </w:rPr>
        <w:t>3</w:t>
      </w:r>
      <w:r w:rsidR="008B68B2" w:rsidRPr="00262711">
        <w:rPr>
          <w:lang w:val="en-GB"/>
        </w:rPr>
        <w:t>, 0.7</w:t>
      </w:r>
      <w:r w:rsidR="008B68B2">
        <w:rPr>
          <w:lang w:val="en-GB"/>
        </w:rPr>
        <w:t>8</w:t>
      </w:r>
      <w:r w:rsidR="008B68B2" w:rsidRPr="00262711">
        <w:rPr>
          <w:lang w:val="en-GB"/>
        </w:rPr>
        <w:t>, 0.</w:t>
      </w:r>
      <w:r w:rsidR="008B68B2">
        <w:rPr>
          <w:lang w:val="en-GB"/>
        </w:rPr>
        <w:t>75</w:t>
      </w:r>
      <w:r w:rsidR="008B68B2" w:rsidRPr="00262711">
        <w:rPr>
          <w:lang w:val="en-GB"/>
        </w:rPr>
        <w:t>, 0.8</w:t>
      </w:r>
      <w:r w:rsidR="008B68B2">
        <w:rPr>
          <w:lang w:val="en-GB"/>
        </w:rPr>
        <w:t>6</w:t>
      </w:r>
      <w:r w:rsidR="008B68B2" w:rsidRPr="00262711">
        <w:rPr>
          <w:lang w:val="en-GB"/>
        </w:rPr>
        <w:t>, 0.78 and 0.7</w:t>
      </w:r>
      <w:r w:rsidR="008B68B2">
        <w:rPr>
          <w:lang w:val="en-GB"/>
        </w:rPr>
        <w:t>4</w:t>
      </w:r>
      <w:r w:rsidR="008B68B2" w:rsidRPr="00262711">
        <w:rPr>
          <w:lang w:val="en-GB"/>
        </w:rPr>
        <w:t>, respectively</w:t>
      </w:r>
      <w:r w:rsidR="008B68B2">
        <w:rPr>
          <w:lang w:val="en-GB"/>
        </w:rPr>
        <w:t xml:space="preserve"> (</w:t>
      </w:r>
      <w:r w:rsidR="008B68B2" w:rsidRPr="00065B92">
        <w:rPr>
          <w:i/>
          <w:lang w:val="en-GB"/>
        </w:rPr>
        <w:t>N</w:t>
      </w:r>
      <w:r w:rsidR="008B68B2">
        <w:rPr>
          <w:lang w:val="en-GB"/>
        </w:rPr>
        <w:t xml:space="preserve"> = 831). </w:t>
      </w:r>
      <w:r w:rsidR="004E6137">
        <w:rPr>
          <w:lang w:val="en-GB"/>
        </w:rPr>
        <w:t>The BAS scales showed moderate positive correlations with each other (</w:t>
      </w:r>
      <w:r w:rsidR="004E6137" w:rsidRPr="00065B92">
        <w:rPr>
          <w:i/>
          <w:lang w:val="en-GB"/>
        </w:rPr>
        <w:t>r</w:t>
      </w:r>
      <w:r w:rsidR="004E6137">
        <w:rPr>
          <w:lang w:val="en-GB"/>
        </w:rPr>
        <w:t> = .33-.48) except of Reward Reactivity and Impulsivity</w:t>
      </w:r>
      <w:r w:rsidR="00370BCE">
        <w:rPr>
          <w:lang w:val="en-GB"/>
        </w:rPr>
        <w:t>,</w:t>
      </w:r>
      <w:r w:rsidR="004E6137">
        <w:rPr>
          <w:lang w:val="en-GB"/>
        </w:rPr>
        <w:t xml:space="preserve"> which </w:t>
      </w:r>
      <w:r w:rsidR="00370BCE">
        <w:rPr>
          <w:lang w:val="en-GB"/>
        </w:rPr>
        <w:t>were not</w:t>
      </w:r>
      <w:r w:rsidR="004E6137">
        <w:rPr>
          <w:lang w:val="en-GB"/>
        </w:rPr>
        <w:t xml:space="preserve"> correlate</w:t>
      </w:r>
      <w:r w:rsidR="00370BCE">
        <w:rPr>
          <w:lang w:val="en-GB"/>
        </w:rPr>
        <w:t>d</w:t>
      </w:r>
      <w:r w:rsidR="004E6137">
        <w:rPr>
          <w:lang w:val="en-GB"/>
        </w:rPr>
        <w:t xml:space="preserve"> (</w:t>
      </w:r>
      <w:r w:rsidR="004E6137" w:rsidRPr="00065B92">
        <w:rPr>
          <w:i/>
          <w:lang w:val="en-GB"/>
        </w:rPr>
        <w:t>r</w:t>
      </w:r>
      <w:r w:rsidR="004E6137">
        <w:rPr>
          <w:lang w:val="en-GB"/>
        </w:rPr>
        <w:t> = 0.02). BIS and FF</w:t>
      </w:r>
      <w:r w:rsidR="00BD5CBC">
        <w:rPr>
          <w:lang w:val="en-GB"/>
        </w:rPr>
        <w:t>F</w:t>
      </w:r>
      <w:r w:rsidR="004E6137">
        <w:rPr>
          <w:lang w:val="en-GB"/>
        </w:rPr>
        <w:t>S showed a</w:t>
      </w:r>
      <w:r w:rsidR="00370BCE">
        <w:rPr>
          <w:lang w:val="en-GB"/>
        </w:rPr>
        <w:t>lso a</w:t>
      </w:r>
      <w:r w:rsidR="004E6137">
        <w:rPr>
          <w:lang w:val="en-GB"/>
        </w:rPr>
        <w:t xml:space="preserve"> </w:t>
      </w:r>
      <w:r w:rsidR="00370BCE" w:rsidRPr="00262711">
        <w:rPr>
          <w:lang w:val="en-GB"/>
        </w:rPr>
        <w:t xml:space="preserve">moderately strong positive </w:t>
      </w:r>
      <w:r w:rsidR="004E6137">
        <w:rPr>
          <w:lang w:val="en-GB"/>
        </w:rPr>
        <w:t xml:space="preserve">correlation </w:t>
      </w:r>
      <w:r w:rsidR="00BD5CBC">
        <w:rPr>
          <w:lang w:val="en-GB"/>
        </w:rPr>
        <w:t xml:space="preserve">with each other </w:t>
      </w:r>
      <w:r w:rsidR="004E6137">
        <w:rPr>
          <w:lang w:val="en-GB"/>
        </w:rPr>
        <w:t>(</w:t>
      </w:r>
      <w:r w:rsidR="004E6137" w:rsidRPr="00065B92">
        <w:rPr>
          <w:i/>
          <w:lang w:val="en-GB"/>
        </w:rPr>
        <w:t>r</w:t>
      </w:r>
      <w:r w:rsidR="004E6137">
        <w:rPr>
          <w:lang w:val="en-GB"/>
        </w:rPr>
        <w:t> = .44) and both showed small to moderate positive correlations with Reward Reactivity and Impulsivity (</w:t>
      </w:r>
      <w:r w:rsidR="004E6137" w:rsidRPr="00065B92">
        <w:rPr>
          <w:i/>
          <w:lang w:val="en-GB"/>
        </w:rPr>
        <w:t>r </w:t>
      </w:r>
      <w:r w:rsidR="004E6137">
        <w:rPr>
          <w:lang w:val="en-GB"/>
        </w:rPr>
        <w:t xml:space="preserve">= .16-.21) and </w:t>
      </w:r>
      <w:r w:rsidR="00BD5CBC">
        <w:rPr>
          <w:lang w:val="en-GB"/>
        </w:rPr>
        <w:t>only weak</w:t>
      </w:r>
      <w:r w:rsidR="004E6137">
        <w:rPr>
          <w:lang w:val="en-GB"/>
        </w:rPr>
        <w:t xml:space="preserve"> correlation</w:t>
      </w:r>
      <w:r w:rsidR="00BD5CBC">
        <w:rPr>
          <w:lang w:val="en-GB"/>
        </w:rPr>
        <w:t>s</w:t>
      </w:r>
      <w:r w:rsidR="004E6137">
        <w:rPr>
          <w:lang w:val="en-GB"/>
        </w:rPr>
        <w:t xml:space="preserve"> with Reward Interest and</w:t>
      </w:r>
      <w:r w:rsidR="004E6137" w:rsidRPr="00262711">
        <w:rPr>
          <w:lang w:val="en-GB"/>
        </w:rPr>
        <w:t xml:space="preserve"> Goal-Drive Persistence</w:t>
      </w:r>
      <w:r w:rsidR="004E6137">
        <w:rPr>
          <w:lang w:val="en-GB"/>
        </w:rPr>
        <w:t xml:space="preserve"> (</w:t>
      </w:r>
      <w:r w:rsidR="004E6137" w:rsidRPr="00065B92">
        <w:rPr>
          <w:i/>
          <w:lang w:val="en-GB"/>
        </w:rPr>
        <w:t>r </w:t>
      </w:r>
      <w:r w:rsidR="004E6137">
        <w:rPr>
          <w:lang w:val="en-GB"/>
        </w:rPr>
        <w:t xml:space="preserve">= -.08-.07). </w:t>
      </w:r>
      <w:r w:rsidR="00BD5CBC">
        <w:rPr>
          <w:lang w:val="en-GB"/>
        </w:rPr>
        <w:t>The factors</w:t>
      </w:r>
      <w:r w:rsidR="00BD5CBC" w:rsidRPr="00262711">
        <w:rPr>
          <w:lang w:val="en-GB"/>
        </w:rPr>
        <w:t xml:space="preserve"> </w:t>
      </w:r>
      <w:r w:rsidR="00DA2DE3" w:rsidRPr="00262711">
        <w:rPr>
          <w:lang w:val="en-GB"/>
        </w:rPr>
        <w:t>also largely showed good convergent and discriminant validity in relation to other widel</w:t>
      </w:r>
      <w:r w:rsidR="00BA50D8">
        <w:rPr>
          <w:lang w:val="en-GB"/>
        </w:rPr>
        <w:t>y used measures of personality.</w:t>
      </w:r>
    </w:p>
    <w:p w14:paraId="66A9E25A" w14:textId="77777777" w:rsidR="003601EB" w:rsidRDefault="00DE0ED2" w:rsidP="001A61F4">
      <w:pPr>
        <w:spacing w:line="480" w:lineRule="auto"/>
        <w:ind w:firstLine="720"/>
        <w:rPr>
          <w:lang w:val="en-GB"/>
        </w:rPr>
      </w:pPr>
      <w:r w:rsidRPr="00262711">
        <w:rPr>
          <w:lang w:val="en-GB"/>
        </w:rPr>
        <w:lastRenderedPageBreak/>
        <w:t xml:space="preserve">Our aim in the current study </w:t>
      </w:r>
      <w:r w:rsidR="00141E19" w:rsidRPr="00262711">
        <w:rPr>
          <w:lang w:val="en-GB"/>
        </w:rPr>
        <w:t>i</w:t>
      </w:r>
      <w:r w:rsidRPr="00262711">
        <w:rPr>
          <w:lang w:val="en-GB"/>
        </w:rPr>
        <w:t xml:space="preserve">s to introduce and evaluate the psychometric properties of a German language version of the RST-PQ. </w:t>
      </w:r>
      <w:r w:rsidR="002059EF" w:rsidRPr="00262711">
        <w:rPr>
          <w:lang w:val="en-GB"/>
        </w:rPr>
        <w:t xml:space="preserve">It is clearly an important step for this recently developed measure of rRST to be translated </w:t>
      </w:r>
      <w:r w:rsidR="0091144E" w:rsidRPr="00262711">
        <w:rPr>
          <w:lang w:val="en-GB"/>
        </w:rPr>
        <w:t>in</w:t>
      </w:r>
      <w:r w:rsidR="002059EF" w:rsidRPr="00262711">
        <w:rPr>
          <w:lang w:val="en-GB"/>
        </w:rPr>
        <w:t xml:space="preserve">to different languages </w:t>
      </w:r>
      <w:r w:rsidR="00880C77" w:rsidRPr="00262711">
        <w:rPr>
          <w:lang w:val="en-GB"/>
        </w:rPr>
        <w:t xml:space="preserve">and replicated in order </w:t>
      </w:r>
      <w:r w:rsidR="002059EF" w:rsidRPr="00262711">
        <w:rPr>
          <w:lang w:val="en-GB"/>
        </w:rPr>
        <w:t xml:space="preserve">to facilitate rRST </w:t>
      </w:r>
      <w:r w:rsidR="00141E19" w:rsidRPr="00262711">
        <w:rPr>
          <w:lang w:val="en-GB"/>
        </w:rPr>
        <w:t>research. T</w:t>
      </w:r>
      <w:r w:rsidR="00614C18" w:rsidRPr="00262711">
        <w:rPr>
          <w:lang w:val="en-GB"/>
        </w:rPr>
        <w:t>here is currently only one published German language measure for rRST; this is the measure by Reuter et al</w:t>
      </w:r>
      <w:r w:rsidR="009A2745">
        <w:rPr>
          <w:lang w:val="en-GB"/>
        </w:rPr>
        <w:t>.</w:t>
      </w:r>
      <w:r w:rsidR="00614C18" w:rsidRPr="00262711">
        <w:rPr>
          <w:lang w:val="en-GB"/>
        </w:rPr>
        <w:t xml:space="preserve"> (2015), mentioned above. </w:t>
      </w:r>
      <w:r w:rsidR="00497C57" w:rsidRPr="00262711">
        <w:rPr>
          <w:lang w:val="en-GB"/>
        </w:rPr>
        <w:t xml:space="preserve">The development of a German language version of the RST-PQ will allow researchers to compare </w:t>
      </w:r>
      <w:r w:rsidR="00141E19" w:rsidRPr="00262711">
        <w:rPr>
          <w:lang w:val="en-GB"/>
        </w:rPr>
        <w:t>the</w:t>
      </w:r>
      <w:r w:rsidR="00497C57" w:rsidRPr="00262711">
        <w:rPr>
          <w:lang w:val="en-GB"/>
        </w:rPr>
        <w:t xml:space="preserve"> structure and validity of these measures. </w:t>
      </w:r>
      <w:r w:rsidR="00EF1668" w:rsidRPr="00262711">
        <w:rPr>
          <w:lang w:val="en-GB"/>
        </w:rPr>
        <w:t>In the current study, we report on the factor structure of a German translated version of the RST-PQ</w:t>
      </w:r>
      <w:r w:rsidR="0048567E" w:rsidRPr="00262711">
        <w:rPr>
          <w:lang w:val="en-GB"/>
        </w:rPr>
        <w:t>. W</w:t>
      </w:r>
      <w:r w:rsidR="00EF1668" w:rsidRPr="00262711">
        <w:rPr>
          <w:lang w:val="en-GB"/>
        </w:rPr>
        <w:t>e expect</w:t>
      </w:r>
      <w:r w:rsidR="0048567E" w:rsidRPr="00262711">
        <w:rPr>
          <w:lang w:val="en-GB"/>
        </w:rPr>
        <w:t>ed</w:t>
      </w:r>
      <w:r w:rsidR="00880C77" w:rsidRPr="00262711">
        <w:rPr>
          <w:lang w:val="en-GB"/>
        </w:rPr>
        <w:t xml:space="preserve"> to find the same six-</w:t>
      </w:r>
      <w:r w:rsidR="00EF1668" w:rsidRPr="00262711">
        <w:rPr>
          <w:lang w:val="en-GB"/>
        </w:rPr>
        <w:t>factor structure found in the English version of the scales. We also examine</w:t>
      </w:r>
      <w:r w:rsidR="0048567E" w:rsidRPr="00262711">
        <w:rPr>
          <w:lang w:val="en-GB"/>
        </w:rPr>
        <w:t>d</w:t>
      </w:r>
      <w:r w:rsidR="00EF1668" w:rsidRPr="00262711">
        <w:rPr>
          <w:lang w:val="en-GB"/>
        </w:rPr>
        <w:t xml:space="preserve"> the convergent and discriminant validity of the German RST-PQ </w:t>
      </w:r>
      <w:r w:rsidR="00324943" w:rsidRPr="00262711">
        <w:rPr>
          <w:lang w:val="en-GB"/>
        </w:rPr>
        <w:t>with regards</w:t>
      </w:r>
      <w:r w:rsidR="00EF1668" w:rsidRPr="00262711">
        <w:rPr>
          <w:lang w:val="en-GB"/>
        </w:rPr>
        <w:t xml:space="preserve"> to theoretically-relevant personality measures related to the FFFS, BIS</w:t>
      </w:r>
      <w:r w:rsidR="00863BBB">
        <w:rPr>
          <w:lang w:val="en-GB"/>
        </w:rPr>
        <w:t>,</w:t>
      </w:r>
      <w:r w:rsidR="00EF1668" w:rsidRPr="00262711">
        <w:rPr>
          <w:lang w:val="en-GB"/>
        </w:rPr>
        <w:t xml:space="preserve"> and BAS.</w:t>
      </w:r>
    </w:p>
    <w:p w14:paraId="66A9E25B" w14:textId="77777777" w:rsidR="00BD0543" w:rsidRPr="00262711" w:rsidRDefault="002C28F8" w:rsidP="001F52AE">
      <w:pPr>
        <w:spacing w:line="480" w:lineRule="auto"/>
        <w:ind w:firstLine="720"/>
        <w:rPr>
          <w:lang w:val="en-GB"/>
        </w:rPr>
      </w:pPr>
      <w:r>
        <w:rPr>
          <w:lang w:val="en-GB"/>
        </w:rPr>
        <w:t>In line with previous findings</w:t>
      </w:r>
      <w:r w:rsidR="004C2E5C">
        <w:rPr>
          <w:lang w:val="en-GB"/>
        </w:rPr>
        <w:t>,</w:t>
      </w:r>
      <w:r>
        <w:rPr>
          <w:lang w:val="en-GB"/>
        </w:rPr>
        <w:t xml:space="preserve"> we expect positive correlations </w:t>
      </w:r>
      <w:r w:rsidR="00001902">
        <w:rPr>
          <w:lang w:val="en-GB"/>
        </w:rPr>
        <w:t xml:space="preserve">of </w:t>
      </w:r>
      <w:r w:rsidR="00143718">
        <w:rPr>
          <w:lang w:val="en-GB"/>
        </w:rPr>
        <w:t>FFFS and BIS with N</w:t>
      </w:r>
      <w:r>
        <w:rPr>
          <w:lang w:val="en-GB"/>
        </w:rPr>
        <w:t>euroticism</w:t>
      </w:r>
      <w:r w:rsidR="00001902">
        <w:rPr>
          <w:lang w:val="en-GB"/>
        </w:rPr>
        <w:t>. We predict</w:t>
      </w:r>
      <w:r w:rsidR="00001902" w:rsidRPr="00370BCE">
        <w:rPr>
          <w:lang w:val="en-GB"/>
        </w:rPr>
        <w:t xml:space="preserve"> that BIS</w:t>
      </w:r>
      <w:r w:rsidR="00001902">
        <w:rPr>
          <w:lang w:val="en-GB"/>
        </w:rPr>
        <w:t xml:space="preserve"> </w:t>
      </w:r>
      <w:r w:rsidR="00001902" w:rsidRPr="00370BCE">
        <w:rPr>
          <w:lang w:val="en-GB"/>
        </w:rPr>
        <w:t xml:space="preserve">would correlate much higher than the FFFS with STAI </w:t>
      </w:r>
      <w:r w:rsidR="00001902">
        <w:rPr>
          <w:lang w:val="en-GB"/>
        </w:rPr>
        <w:t>trait anxiety</w:t>
      </w:r>
      <w:r w:rsidR="00143718">
        <w:rPr>
          <w:lang w:val="en-GB"/>
        </w:rPr>
        <w:t xml:space="preserve"> and</w:t>
      </w:r>
      <w:r w:rsidR="004C2E5C">
        <w:rPr>
          <w:lang w:val="en-GB"/>
        </w:rPr>
        <w:t>,</w:t>
      </w:r>
      <w:r w:rsidR="00001902">
        <w:rPr>
          <w:lang w:val="en-GB"/>
        </w:rPr>
        <w:t xml:space="preserve"> </w:t>
      </w:r>
      <w:r w:rsidR="00143718" w:rsidRPr="00370BCE">
        <w:rPr>
          <w:lang w:val="en-GB"/>
        </w:rPr>
        <w:t>more specifically</w:t>
      </w:r>
      <w:r w:rsidR="004C2E5C">
        <w:rPr>
          <w:lang w:val="en-GB"/>
        </w:rPr>
        <w:t>,</w:t>
      </w:r>
      <w:r w:rsidR="00143718" w:rsidRPr="00370BCE">
        <w:rPr>
          <w:lang w:val="en-GB"/>
        </w:rPr>
        <w:t xml:space="preserve"> with social anxiety</w:t>
      </w:r>
      <w:r w:rsidR="004C2E5C">
        <w:rPr>
          <w:lang w:val="en-GB"/>
        </w:rPr>
        <w:t>,</w:t>
      </w:r>
      <w:r w:rsidR="00143718" w:rsidRPr="00370BCE">
        <w:rPr>
          <w:lang w:val="en-GB"/>
        </w:rPr>
        <w:t xml:space="preserve"> </w:t>
      </w:r>
      <w:r w:rsidR="00143718">
        <w:rPr>
          <w:lang w:val="en-GB"/>
        </w:rPr>
        <w:t>while</w:t>
      </w:r>
      <w:r w:rsidR="00001902" w:rsidRPr="00370BCE">
        <w:rPr>
          <w:lang w:val="en-GB"/>
        </w:rPr>
        <w:t xml:space="preserve"> </w:t>
      </w:r>
      <w:r w:rsidR="00001902">
        <w:rPr>
          <w:lang w:val="en-GB"/>
        </w:rPr>
        <w:t xml:space="preserve">FFFS </w:t>
      </w:r>
      <w:r w:rsidR="00001902" w:rsidRPr="00370BCE">
        <w:rPr>
          <w:lang w:val="en-GB"/>
        </w:rPr>
        <w:t>would correlate</w:t>
      </w:r>
      <w:r w:rsidR="00001902">
        <w:rPr>
          <w:lang w:val="en-GB"/>
        </w:rPr>
        <w:t xml:space="preserve"> higher</w:t>
      </w:r>
      <w:r w:rsidR="00001902" w:rsidRPr="00370BCE">
        <w:rPr>
          <w:lang w:val="en-GB"/>
        </w:rPr>
        <w:t xml:space="preserve"> with specific</w:t>
      </w:r>
      <w:r w:rsidR="00001902">
        <w:rPr>
          <w:lang w:val="en-GB"/>
        </w:rPr>
        <w:t xml:space="preserve"> </w:t>
      </w:r>
      <w:r w:rsidR="00001902" w:rsidRPr="00370BCE">
        <w:rPr>
          <w:lang w:val="en-GB"/>
        </w:rPr>
        <w:t>fear scales.</w:t>
      </w:r>
      <w:r w:rsidR="00001902">
        <w:rPr>
          <w:lang w:val="en-GB"/>
        </w:rPr>
        <w:t xml:space="preserve"> For the</w:t>
      </w:r>
      <w:r>
        <w:rPr>
          <w:lang w:val="en-GB"/>
        </w:rPr>
        <w:t xml:space="preserve"> BAS factor</w:t>
      </w:r>
      <w:r w:rsidR="00001902">
        <w:rPr>
          <w:lang w:val="en-GB"/>
        </w:rPr>
        <w:t xml:space="preserve">s we expect positive correlations with </w:t>
      </w:r>
      <w:r w:rsidR="00143718">
        <w:rPr>
          <w:lang w:val="en-GB"/>
        </w:rPr>
        <w:t>E</w:t>
      </w:r>
      <w:r>
        <w:rPr>
          <w:lang w:val="en-GB"/>
        </w:rPr>
        <w:t xml:space="preserve">xtraversion. </w:t>
      </w:r>
      <w:r w:rsidR="00001902">
        <w:rPr>
          <w:lang w:val="en-GB"/>
        </w:rPr>
        <w:t>In terms of the other Big Five factors</w:t>
      </w:r>
      <w:r w:rsidR="004C2E5C">
        <w:rPr>
          <w:lang w:val="en-GB"/>
        </w:rPr>
        <w:t>,</w:t>
      </w:r>
      <w:r w:rsidR="00001902">
        <w:rPr>
          <w:lang w:val="en-GB"/>
        </w:rPr>
        <w:t xml:space="preserve"> we </w:t>
      </w:r>
      <w:r w:rsidR="00143718">
        <w:rPr>
          <w:lang w:val="en-GB"/>
        </w:rPr>
        <w:t>predict</w:t>
      </w:r>
      <w:r w:rsidR="00001902">
        <w:rPr>
          <w:lang w:val="en-GB"/>
        </w:rPr>
        <w:t xml:space="preserve"> Conscientiousness to correlate positive</w:t>
      </w:r>
      <w:r w:rsidR="002D1A07">
        <w:rPr>
          <w:lang w:val="en-GB"/>
        </w:rPr>
        <w:t>ly</w:t>
      </w:r>
      <w:r w:rsidR="00001902">
        <w:rPr>
          <w:lang w:val="en-GB"/>
        </w:rPr>
        <w:t xml:space="preserve"> with </w:t>
      </w:r>
      <w:r w:rsidR="00001902" w:rsidRPr="00262711">
        <w:rPr>
          <w:lang w:val="en-GB"/>
        </w:rPr>
        <w:t>Goal-Drive Persistence</w:t>
      </w:r>
      <w:r w:rsidR="004C2E5C">
        <w:rPr>
          <w:lang w:val="en-GB"/>
        </w:rPr>
        <w:t>,</w:t>
      </w:r>
      <w:r w:rsidR="00001902">
        <w:rPr>
          <w:lang w:val="en-GB"/>
        </w:rPr>
        <w:t xml:space="preserve"> and Openness</w:t>
      </w:r>
      <w:r w:rsidR="00143718">
        <w:rPr>
          <w:lang w:val="en-GB"/>
        </w:rPr>
        <w:t xml:space="preserve"> to correlat</w:t>
      </w:r>
      <w:r w:rsidR="00001902">
        <w:rPr>
          <w:lang w:val="en-GB"/>
        </w:rPr>
        <w:t xml:space="preserve">e positive with </w:t>
      </w:r>
      <w:r w:rsidR="00001902" w:rsidRPr="00262711">
        <w:rPr>
          <w:lang w:val="en-GB"/>
        </w:rPr>
        <w:t>Reward Interest</w:t>
      </w:r>
      <w:r w:rsidR="00001902">
        <w:rPr>
          <w:lang w:val="en-GB"/>
        </w:rPr>
        <w:t>. For</w:t>
      </w:r>
      <w:r>
        <w:rPr>
          <w:lang w:val="en-GB"/>
        </w:rPr>
        <w:t xml:space="preserve"> Impulsivity</w:t>
      </w:r>
      <w:r w:rsidR="004C2E5C">
        <w:rPr>
          <w:lang w:val="en-GB"/>
        </w:rPr>
        <w:t>,</w:t>
      </w:r>
      <w:r>
        <w:rPr>
          <w:lang w:val="en-GB"/>
        </w:rPr>
        <w:t xml:space="preserve"> </w:t>
      </w:r>
      <w:r w:rsidR="00001902">
        <w:rPr>
          <w:lang w:val="en-GB"/>
        </w:rPr>
        <w:t xml:space="preserve">we </w:t>
      </w:r>
      <w:r w:rsidR="00143718">
        <w:rPr>
          <w:lang w:val="en-GB"/>
        </w:rPr>
        <w:t>would expect</w:t>
      </w:r>
      <w:r w:rsidR="00001902">
        <w:rPr>
          <w:lang w:val="en-GB"/>
        </w:rPr>
        <w:t xml:space="preserve"> a</w:t>
      </w:r>
      <w:r>
        <w:rPr>
          <w:lang w:val="en-GB"/>
        </w:rPr>
        <w:t xml:space="preserve"> strongly positive</w:t>
      </w:r>
      <w:r w:rsidR="00001902">
        <w:rPr>
          <w:lang w:val="en-GB"/>
        </w:rPr>
        <w:t xml:space="preserve"> correlation</w:t>
      </w:r>
      <w:r>
        <w:rPr>
          <w:lang w:val="en-GB"/>
        </w:rPr>
        <w:t xml:space="preserve"> with</w:t>
      </w:r>
      <w:r w:rsidR="00001902">
        <w:rPr>
          <w:lang w:val="en-GB"/>
        </w:rPr>
        <w:t xml:space="preserve"> </w:t>
      </w:r>
      <w:r w:rsidR="00143718">
        <w:rPr>
          <w:lang w:val="en-GB"/>
        </w:rPr>
        <w:t>other measures of</w:t>
      </w:r>
      <w:r>
        <w:rPr>
          <w:lang w:val="en-GB"/>
        </w:rPr>
        <w:t xml:space="preserve"> Impulsivity</w:t>
      </w:r>
      <w:r w:rsidR="00001902">
        <w:rPr>
          <w:lang w:val="en-GB"/>
        </w:rPr>
        <w:t xml:space="preserve"> and a negative correlation with Conscientiousness</w:t>
      </w:r>
      <w:r>
        <w:rPr>
          <w:lang w:val="en-GB"/>
        </w:rPr>
        <w:t xml:space="preserve">. </w:t>
      </w:r>
    </w:p>
    <w:p w14:paraId="66A9E25C" w14:textId="77777777" w:rsidR="00C80DE1" w:rsidRPr="00262711" w:rsidRDefault="00DB3892" w:rsidP="00D3129F">
      <w:pPr>
        <w:spacing w:line="480" w:lineRule="auto"/>
        <w:jc w:val="center"/>
        <w:rPr>
          <w:b/>
          <w:bCs/>
          <w:lang w:val="en-GB"/>
        </w:rPr>
      </w:pPr>
      <w:r w:rsidRPr="00262711">
        <w:rPr>
          <w:b/>
          <w:bCs/>
          <w:lang w:val="en-GB"/>
        </w:rPr>
        <w:t>Method</w:t>
      </w:r>
    </w:p>
    <w:p w14:paraId="66A9E25D" w14:textId="77777777" w:rsidR="00C80DE1" w:rsidRPr="00262711" w:rsidRDefault="00DB3892" w:rsidP="00D3129F">
      <w:pPr>
        <w:spacing w:line="480" w:lineRule="auto"/>
        <w:rPr>
          <w:b/>
          <w:bCs/>
          <w:lang w:val="en-GB"/>
        </w:rPr>
      </w:pPr>
      <w:r w:rsidRPr="00262711">
        <w:rPr>
          <w:b/>
          <w:bCs/>
          <w:lang w:val="en-GB"/>
        </w:rPr>
        <w:t>Participants</w:t>
      </w:r>
      <w:r w:rsidR="002353F2" w:rsidRPr="00262711">
        <w:rPr>
          <w:b/>
          <w:bCs/>
          <w:lang w:val="en-GB"/>
        </w:rPr>
        <w:t xml:space="preserve"> and Procedure</w:t>
      </w:r>
    </w:p>
    <w:p w14:paraId="66A9E25E" w14:textId="77777777" w:rsidR="00EC2A6D" w:rsidRPr="00262711" w:rsidRDefault="00BD0543" w:rsidP="002353F2">
      <w:pPr>
        <w:spacing w:line="480" w:lineRule="auto"/>
        <w:ind w:firstLine="720"/>
        <w:rPr>
          <w:lang w:val="en-GB"/>
        </w:rPr>
      </w:pPr>
      <w:r w:rsidRPr="00262711">
        <w:rPr>
          <w:lang w:val="en-GB"/>
        </w:rPr>
        <w:t xml:space="preserve">Five hundred and 27 </w:t>
      </w:r>
      <w:r w:rsidR="00EC5635" w:rsidRPr="00262711">
        <w:rPr>
          <w:lang w:val="en-GB"/>
        </w:rPr>
        <w:t xml:space="preserve">healthy volunteers </w:t>
      </w:r>
      <w:r w:rsidRPr="00262711">
        <w:rPr>
          <w:lang w:val="en-GB"/>
        </w:rPr>
        <w:t xml:space="preserve">(259 males, </w:t>
      </w:r>
      <w:r w:rsidR="00444283" w:rsidRPr="00262711">
        <w:rPr>
          <w:i/>
          <w:lang w:val="en-GB"/>
        </w:rPr>
        <w:t>M</w:t>
      </w:r>
      <w:r w:rsidR="00444283" w:rsidRPr="00262711">
        <w:rPr>
          <w:vertAlign w:val="subscript"/>
          <w:lang w:val="en-GB"/>
        </w:rPr>
        <w:t>age</w:t>
      </w:r>
      <w:r w:rsidRPr="00262711">
        <w:rPr>
          <w:lang w:val="en-GB"/>
        </w:rPr>
        <w:t xml:space="preserve"> </w:t>
      </w:r>
      <w:r w:rsidR="000E2381" w:rsidRPr="00262711">
        <w:rPr>
          <w:lang w:val="en-GB"/>
        </w:rPr>
        <w:t xml:space="preserve">= </w:t>
      </w:r>
      <w:r w:rsidRPr="00262711">
        <w:rPr>
          <w:lang w:val="en-GB"/>
        </w:rPr>
        <w:t xml:space="preserve">26.97, </w:t>
      </w:r>
      <w:r w:rsidR="00444283" w:rsidRPr="00262711">
        <w:rPr>
          <w:i/>
          <w:lang w:val="en-GB"/>
        </w:rPr>
        <w:t>SD</w:t>
      </w:r>
      <w:r w:rsidRPr="00262711">
        <w:rPr>
          <w:lang w:val="en-GB"/>
        </w:rPr>
        <w:t xml:space="preserve"> </w:t>
      </w:r>
      <w:r w:rsidR="000E2381" w:rsidRPr="00262711">
        <w:rPr>
          <w:lang w:val="en-GB"/>
        </w:rPr>
        <w:t xml:space="preserve">= </w:t>
      </w:r>
      <w:r w:rsidRPr="00262711">
        <w:rPr>
          <w:lang w:val="en-GB"/>
        </w:rPr>
        <w:t xml:space="preserve">7.44; 268 females, </w:t>
      </w:r>
      <w:r w:rsidR="000E2381" w:rsidRPr="00262711">
        <w:rPr>
          <w:i/>
          <w:lang w:val="en-GB"/>
        </w:rPr>
        <w:t>M</w:t>
      </w:r>
      <w:r w:rsidR="000E2381" w:rsidRPr="00262711">
        <w:rPr>
          <w:vertAlign w:val="subscript"/>
          <w:lang w:val="en-GB"/>
        </w:rPr>
        <w:t>age</w:t>
      </w:r>
      <w:r w:rsidRPr="00262711">
        <w:rPr>
          <w:lang w:val="en-GB"/>
        </w:rPr>
        <w:t xml:space="preserve"> </w:t>
      </w:r>
      <w:r w:rsidR="000E2381" w:rsidRPr="00262711">
        <w:rPr>
          <w:lang w:val="en-GB"/>
        </w:rPr>
        <w:t xml:space="preserve">= </w:t>
      </w:r>
      <w:r w:rsidRPr="00262711">
        <w:rPr>
          <w:lang w:val="en-GB"/>
        </w:rPr>
        <w:t xml:space="preserve">26.31, </w:t>
      </w:r>
      <w:r w:rsidR="00444283" w:rsidRPr="00262711">
        <w:rPr>
          <w:i/>
          <w:lang w:val="en-GB"/>
        </w:rPr>
        <w:t>SD</w:t>
      </w:r>
      <w:r w:rsidRPr="00262711">
        <w:rPr>
          <w:lang w:val="en-GB"/>
        </w:rPr>
        <w:t xml:space="preserve"> </w:t>
      </w:r>
      <w:r w:rsidR="000E2381" w:rsidRPr="00262711">
        <w:rPr>
          <w:lang w:val="en-GB"/>
        </w:rPr>
        <w:t xml:space="preserve">= </w:t>
      </w:r>
      <w:r w:rsidRPr="00262711">
        <w:rPr>
          <w:lang w:val="en-GB"/>
        </w:rPr>
        <w:t>7.50) were recruited</w:t>
      </w:r>
      <w:r w:rsidR="002353F2" w:rsidRPr="00262711">
        <w:rPr>
          <w:lang w:val="en-GB"/>
        </w:rPr>
        <w:t xml:space="preserve"> using emails, newspaper advertisements</w:t>
      </w:r>
      <w:r w:rsidR="00863BBB">
        <w:rPr>
          <w:lang w:val="en-GB"/>
        </w:rPr>
        <w:t>,</w:t>
      </w:r>
      <w:r w:rsidR="002353F2" w:rsidRPr="00262711">
        <w:rPr>
          <w:lang w:val="en-GB"/>
        </w:rPr>
        <w:t xml:space="preserve"> and flyers distributed around the local community in Munich, Germany. </w:t>
      </w:r>
      <w:r w:rsidR="000E2381" w:rsidRPr="00262711">
        <w:rPr>
          <w:lang w:val="en-GB"/>
        </w:rPr>
        <w:t>P</w:t>
      </w:r>
      <w:r w:rsidR="002353F2" w:rsidRPr="00262711">
        <w:rPr>
          <w:lang w:val="en-GB"/>
        </w:rPr>
        <w:t xml:space="preserve">articipants were first contacted and screened for </w:t>
      </w:r>
      <w:r w:rsidR="000E2381" w:rsidRPr="00262711">
        <w:rPr>
          <w:lang w:val="en-GB"/>
        </w:rPr>
        <w:t xml:space="preserve">their </w:t>
      </w:r>
      <w:r w:rsidR="002353F2" w:rsidRPr="00262711">
        <w:rPr>
          <w:lang w:val="en-GB"/>
        </w:rPr>
        <w:t>suitability in a telephone interview and were then invited to take part in the psychometric assessments in the laboratory. Exclusion criteria were</w:t>
      </w:r>
      <w:r w:rsidR="0053178B">
        <w:rPr>
          <w:lang w:val="en-GB"/>
        </w:rPr>
        <w:t>:</w:t>
      </w:r>
      <w:r w:rsidR="002353F2" w:rsidRPr="00262711">
        <w:rPr>
          <w:lang w:val="en-GB"/>
        </w:rPr>
        <w:t xml:space="preserve"> (1) any </w:t>
      </w:r>
      <w:r w:rsidR="002353F2" w:rsidRPr="00262711">
        <w:rPr>
          <w:lang w:val="en-GB"/>
        </w:rPr>
        <w:lastRenderedPageBreak/>
        <w:t>current DSM-IV Axis I disorders (established using the German version of the Mini-International Neuropsychiatric Interview; Sheehan et al., 1998)</w:t>
      </w:r>
      <w:r w:rsidR="0064678F" w:rsidRPr="00262711">
        <w:rPr>
          <w:lang w:val="en-GB"/>
        </w:rPr>
        <w:t>;</w:t>
      </w:r>
      <w:r w:rsidR="002353F2" w:rsidRPr="00262711">
        <w:rPr>
          <w:lang w:val="en-GB"/>
        </w:rPr>
        <w:t xml:space="preserve"> (2) a past or current diagnosis of ADHD</w:t>
      </w:r>
      <w:r w:rsidR="0064678F" w:rsidRPr="00262711">
        <w:rPr>
          <w:lang w:val="en-GB"/>
        </w:rPr>
        <w:t>;</w:t>
      </w:r>
      <w:r w:rsidR="002353F2" w:rsidRPr="00262711">
        <w:rPr>
          <w:lang w:val="en-GB"/>
        </w:rPr>
        <w:t xml:space="preserve"> (3) any diagnoses of psychotic disorders or ADHD amongst first-degree relatives</w:t>
      </w:r>
      <w:r w:rsidR="0064678F" w:rsidRPr="00262711">
        <w:rPr>
          <w:lang w:val="en-GB"/>
        </w:rPr>
        <w:t>;</w:t>
      </w:r>
      <w:r w:rsidR="002353F2" w:rsidRPr="00262711">
        <w:rPr>
          <w:lang w:val="en-GB"/>
        </w:rPr>
        <w:t xml:space="preserve"> (4) a history or evidence of neurological disorders</w:t>
      </w:r>
      <w:r w:rsidR="0064678F" w:rsidRPr="00262711">
        <w:rPr>
          <w:lang w:val="en-GB"/>
        </w:rPr>
        <w:t>;</w:t>
      </w:r>
      <w:r w:rsidR="002353F2" w:rsidRPr="00262711">
        <w:rPr>
          <w:lang w:val="en-GB"/>
        </w:rPr>
        <w:t xml:space="preserve"> (5) any current physical </w:t>
      </w:r>
      <w:r w:rsidR="000E2381" w:rsidRPr="00262711">
        <w:rPr>
          <w:lang w:val="en-GB"/>
        </w:rPr>
        <w:t>impairment</w:t>
      </w:r>
      <w:r w:rsidR="0064678F" w:rsidRPr="00262711">
        <w:rPr>
          <w:lang w:val="en-GB"/>
        </w:rPr>
        <w:t>;</w:t>
      </w:r>
      <w:r w:rsidR="002353F2" w:rsidRPr="00262711">
        <w:rPr>
          <w:lang w:val="en-GB"/>
        </w:rPr>
        <w:t xml:space="preserve"> (6) any current consumption of over-the-counter or prescription medication (except for oral contraceptives in females)</w:t>
      </w:r>
      <w:r w:rsidR="0064678F" w:rsidRPr="00262711">
        <w:rPr>
          <w:lang w:val="en-GB"/>
        </w:rPr>
        <w:t>;</w:t>
      </w:r>
      <w:r w:rsidR="002353F2" w:rsidRPr="00262711">
        <w:rPr>
          <w:lang w:val="en-GB"/>
        </w:rPr>
        <w:t xml:space="preserve"> and (7) any visual impairments (other than the use of corrective lenses or glasses). Inclusion criteria were</w:t>
      </w:r>
      <w:r w:rsidR="0053178B">
        <w:rPr>
          <w:lang w:val="en-GB"/>
        </w:rPr>
        <w:t>:</w:t>
      </w:r>
      <w:r w:rsidR="002353F2" w:rsidRPr="00262711">
        <w:rPr>
          <w:lang w:val="en-GB"/>
        </w:rPr>
        <w:t xml:space="preserve"> </w:t>
      </w:r>
      <w:r w:rsidR="00880C77" w:rsidRPr="00262711">
        <w:rPr>
          <w:lang w:val="en-GB"/>
        </w:rPr>
        <w:t xml:space="preserve">(1) </w:t>
      </w:r>
      <w:r w:rsidR="000E2381" w:rsidRPr="00262711">
        <w:rPr>
          <w:lang w:val="en-GB"/>
        </w:rPr>
        <w:t>being aged</w:t>
      </w:r>
      <w:r w:rsidR="002353F2" w:rsidRPr="00262711">
        <w:rPr>
          <w:lang w:val="en-GB"/>
        </w:rPr>
        <w:t xml:space="preserve"> between 18 and 55 years</w:t>
      </w:r>
      <w:r w:rsidR="0053178B">
        <w:rPr>
          <w:lang w:val="en-GB"/>
        </w:rPr>
        <w:t>; and</w:t>
      </w:r>
      <w:r w:rsidR="00880C77" w:rsidRPr="00262711">
        <w:rPr>
          <w:lang w:val="en-GB"/>
        </w:rPr>
        <w:t xml:space="preserve"> (2) </w:t>
      </w:r>
      <w:r w:rsidR="000E2381" w:rsidRPr="00262711">
        <w:rPr>
          <w:lang w:val="en-GB"/>
        </w:rPr>
        <w:t xml:space="preserve">speaking </w:t>
      </w:r>
      <w:r w:rsidR="002353F2" w:rsidRPr="00262711">
        <w:rPr>
          <w:lang w:val="en-GB"/>
        </w:rPr>
        <w:t>German as first language. Demographic data were collected using a purpose-written questionnaire recording age, gender, and years spent in full-time education</w:t>
      </w:r>
      <w:r w:rsidR="000E2381" w:rsidRPr="00262711">
        <w:rPr>
          <w:lang w:val="en-GB"/>
        </w:rPr>
        <w:t xml:space="preserve">. </w:t>
      </w:r>
    </w:p>
    <w:p w14:paraId="66A9E25F" w14:textId="77777777" w:rsidR="00BD0543" w:rsidRPr="00262711" w:rsidRDefault="002353F2" w:rsidP="002353F2">
      <w:pPr>
        <w:spacing w:line="480" w:lineRule="auto"/>
        <w:ind w:firstLine="720"/>
        <w:rPr>
          <w:lang w:val="en-GB"/>
        </w:rPr>
      </w:pPr>
      <w:r w:rsidRPr="00262711">
        <w:rPr>
          <w:lang w:val="en-GB"/>
        </w:rPr>
        <w:t xml:space="preserve">Ethical approval was obtained from the ethics committee of the </w:t>
      </w:r>
      <w:r w:rsidR="000E2381" w:rsidRPr="00262711">
        <w:rPr>
          <w:lang w:val="en-GB"/>
        </w:rPr>
        <w:t xml:space="preserve">Faculty </w:t>
      </w:r>
      <w:r w:rsidRPr="00262711">
        <w:rPr>
          <w:lang w:val="en-GB"/>
        </w:rPr>
        <w:t xml:space="preserve">of </w:t>
      </w:r>
      <w:r w:rsidR="000E2381" w:rsidRPr="00262711">
        <w:rPr>
          <w:lang w:val="en-GB"/>
        </w:rPr>
        <w:t>M</w:t>
      </w:r>
      <w:r w:rsidRPr="00262711">
        <w:rPr>
          <w:lang w:val="en-GB"/>
        </w:rPr>
        <w:t>edicine of the University of Munich. All volunteers provided written informed consent and were reimbursed for their participation (25 Euros).</w:t>
      </w:r>
      <w:r w:rsidR="000E2381" w:rsidRPr="00262711">
        <w:rPr>
          <w:lang w:val="en-GB"/>
        </w:rPr>
        <w:t xml:space="preserve"> The </w:t>
      </w:r>
      <w:r w:rsidR="00EC2A6D" w:rsidRPr="00262711">
        <w:rPr>
          <w:lang w:val="en-GB"/>
        </w:rPr>
        <w:t>self-report personality</w:t>
      </w:r>
      <w:r w:rsidR="000E2381" w:rsidRPr="00262711">
        <w:rPr>
          <w:lang w:val="en-GB"/>
        </w:rPr>
        <w:t xml:space="preserve"> data reported </w:t>
      </w:r>
      <w:r w:rsidR="00EC2A6D" w:rsidRPr="00262711">
        <w:rPr>
          <w:lang w:val="en-GB"/>
        </w:rPr>
        <w:t>here</w:t>
      </w:r>
      <w:r w:rsidR="000E2381" w:rsidRPr="00262711">
        <w:rPr>
          <w:lang w:val="en-GB"/>
        </w:rPr>
        <w:t xml:space="preserve"> were collected as part of a larger </w:t>
      </w:r>
      <w:r w:rsidR="00EC2A6D" w:rsidRPr="00262711">
        <w:rPr>
          <w:lang w:val="en-GB"/>
        </w:rPr>
        <w:t>series of studies</w:t>
      </w:r>
      <w:r w:rsidR="000E2381" w:rsidRPr="00262711">
        <w:rPr>
          <w:lang w:val="en-GB"/>
        </w:rPr>
        <w:t xml:space="preserve"> </w:t>
      </w:r>
      <w:r w:rsidR="00EC2A6D" w:rsidRPr="00262711">
        <w:rPr>
          <w:lang w:val="en-GB"/>
        </w:rPr>
        <w:t xml:space="preserve">examining the genetic and neurobiological bases of </w:t>
      </w:r>
      <w:r w:rsidR="0048567E" w:rsidRPr="00262711">
        <w:rPr>
          <w:lang w:val="en-GB"/>
        </w:rPr>
        <w:t>cognition, brain function</w:t>
      </w:r>
      <w:r w:rsidR="00863BBB">
        <w:rPr>
          <w:lang w:val="en-GB"/>
        </w:rPr>
        <w:t>,</w:t>
      </w:r>
      <w:r w:rsidR="0048567E" w:rsidRPr="00262711">
        <w:rPr>
          <w:lang w:val="en-GB"/>
        </w:rPr>
        <w:t xml:space="preserve"> and </w:t>
      </w:r>
      <w:r w:rsidR="00EC2A6D" w:rsidRPr="00262711">
        <w:rPr>
          <w:lang w:val="en-GB"/>
        </w:rPr>
        <w:t xml:space="preserve">personality. </w:t>
      </w:r>
    </w:p>
    <w:p w14:paraId="66A9E260" w14:textId="77777777" w:rsidR="002353F2" w:rsidRPr="00262711" w:rsidRDefault="002353F2" w:rsidP="002353F2">
      <w:pPr>
        <w:spacing w:line="480" w:lineRule="auto"/>
        <w:ind w:firstLine="720"/>
        <w:rPr>
          <w:lang w:val="en-GB"/>
        </w:rPr>
      </w:pPr>
    </w:p>
    <w:p w14:paraId="66A9E261" w14:textId="77777777" w:rsidR="00C80DE1" w:rsidRPr="00262711" w:rsidRDefault="00DB3892" w:rsidP="00D3129F">
      <w:pPr>
        <w:spacing w:line="480" w:lineRule="auto"/>
        <w:rPr>
          <w:b/>
          <w:bCs/>
          <w:lang w:val="en-GB"/>
        </w:rPr>
      </w:pPr>
      <w:r w:rsidRPr="00262711">
        <w:rPr>
          <w:b/>
          <w:bCs/>
          <w:lang w:val="en-GB"/>
        </w:rPr>
        <w:t xml:space="preserve">Materials </w:t>
      </w:r>
    </w:p>
    <w:p w14:paraId="66A9E262" w14:textId="77777777" w:rsidR="00BD0543" w:rsidRPr="00262711" w:rsidRDefault="00BA50D8" w:rsidP="00880C77">
      <w:pPr>
        <w:spacing w:line="480" w:lineRule="auto"/>
        <w:ind w:firstLine="720"/>
        <w:rPr>
          <w:lang w:val="en-GB"/>
        </w:rPr>
      </w:pPr>
      <w:r>
        <w:rPr>
          <w:b/>
          <w:lang w:val="en-GB"/>
        </w:rPr>
        <w:t>T</w:t>
      </w:r>
      <w:r w:rsidR="00BD0543" w:rsidRPr="00BA50D8">
        <w:rPr>
          <w:b/>
          <w:lang w:val="en-GB"/>
        </w:rPr>
        <w:t>he Reinforcement Sensitivity Theory Personality Questionnaire.</w:t>
      </w:r>
      <w:r w:rsidR="005F7D89" w:rsidRPr="00376545">
        <w:rPr>
          <w:b/>
          <w:lang w:val="en-GB"/>
        </w:rPr>
        <w:t xml:space="preserve"> </w:t>
      </w:r>
      <w:r w:rsidR="003879C7" w:rsidRPr="00262711">
        <w:rPr>
          <w:lang w:val="en-GB"/>
        </w:rPr>
        <w:t xml:space="preserve">The Reinforcement Sensitivity Theory Personality Questionnaire (RST-PQ; </w:t>
      </w:r>
      <w:r w:rsidR="00BD0543" w:rsidRPr="00262711">
        <w:rPr>
          <w:lang w:val="en-GB"/>
        </w:rPr>
        <w:t>Corr &amp; Cooper, 2016)</w:t>
      </w:r>
      <w:r w:rsidR="003879C7" w:rsidRPr="00262711">
        <w:rPr>
          <w:lang w:val="en-GB"/>
        </w:rPr>
        <w:t xml:space="preserve"> is a </w:t>
      </w:r>
      <w:r w:rsidR="000B6BB6" w:rsidRPr="00262711">
        <w:rPr>
          <w:lang w:val="en-GB"/>
        </w:rPr>
        <w:t xml:space="preserve">65-item </w:t>
      </w:r>
      <w:r w:rsidR="00631A43" w:rsidRPr="00262711">
        <w:rPr>
          <w:lang w:val="en-GB"/>
        </w:rPr>
        <w:t xml:space="preserve">self-report </w:t>
      </w:r>
      <w:r w:rsidR="003879C7" w:rsidRPr="00262711">
        <w:rPr>
          <w:lang w:val="en-GB"/>
        </w:rPr>
        <w:t>questionnaire measure of the rRST of personality</w:t>
      </w:r>
      <w:r w:rsidR="00631A43" w:rsidRPr="00262711">
        <w:rPr>
          <w:lang w:val="en-GB"/>
        </w:rPr>
        <w:t>,</w:t>
      </w:r>
      <w:r w:rsidR="003879C7" w:rsidRPr="00262711">
        <w:rPr>
          <w:lang w:val="en-GB"/>
        </w:rPr>
        <w:t xml:space="preserve"> comprising</w:t>
      </w:r>
      <w:r w:rsidR="0064678F" w:rsidRPr="00262711">
        <w:rPr>
          <w:lang w:val="en-GB"/>
        </w:rPr>
        <w:t xml:space="preserve">: </w:t>
      </w:r>
      <w:r w:rsidR="003879C7" w:rsidRPr="00262711">
        <w:rPr>
          <w:lang w:val="en-GB"/>
        </w:rPr>
        <w:t>BIS scale (23 items)</w:t>
      </w:r>
      <w:r w:rsidR="0064678F" w:rsidRPr="00262711">
        <w:rPr>
          <w:lang w:val="en-GB"/>
        </w:rPr>
        <w:t>;</w:t>
      </w:r>
      <w:r w:rsidR="003879C7" w:rsidRPr="00262711">
        <w:rPr>
          <w:lang w:val="en-GB"/>
        </w:rPr>
        <w:t xml:space="preserve"> FFFS scale (10 items)</w:t>
      </w:r>
      <w:r w:rsidR="0064678F" w:rsidRPr="00262711">
        <w:rPr>
          <w:lang w:val="en-GB"/>
        </w:rPr>
        <w:t>;</w:t>
      </w:r>
      <w:r w:rsidR="003879C7" w:rsidRPr="00262711">
        <w:rPr>
          <w:lang w:val="en-GB"/>
        </w:rPr>
        <w:t xml:space="preserve"> and </w:t>
      </w:r>
      <w:r w:rsidR="00044581">
        <w:rPr>
          <w:lang w:val="en-GB"/>
        </w:rPr>
        <w:t>four</w:t>
      </w:r>
      <w:r w:rsidR="003879C7" w:rsidRPr="00262711">
        <w:rPr>
          <w:lang w:val="en-GB"/>
        </w:rPr>
        <w:t xml:space="preserve"> BAS scales</w:t>
      </w:r>
      <w:r w:rsidR="0064678F" w:rsidRPr="00262711">
        <w:rPr>
          <w:lang w:val="en-GB"/>
        </w:rPr>
        <w:t xml:space="preserve"> - </w:t>
      </w:r>
      <w:r w:rsidR="003879C7" w:rsidRPr="00262711">
        <w:rPr>
          <w:lang w:val="en-GB"/>
        </w:rPr>
        <w:t>Reward Interest (7 items), Goal-Drive Persistence (7 items), Reward Reactivity (10 items), and Impulsivity (8 items). Each item is answered using a four</w:t>
      </w:r>
      <w:r w:rsidR="00B15260">
        <w:rPr>
          <w:lang w:val="en-GB"/>
        </w:rPr>
        <w:t>-</w:t>
      </w:r>
      <w:r w:rsidR="003879C7" w:rsidRPr="00262711">
        <w:rPr>
          <w:lang w:val="en-GB"/>
        </w:rPr>
        <w:t>point Likert scale, ranging from 1 (</w:t>
      </w:r>
      <w:r w:rsidR="00433E50" w:rsidRPr="00BA50D8">
        <w:rPr>
          <w:i/>
          <w:lang w:val="en-GB"/>
        </w:rPr>
        <w:t>Not at all</w:t>
      </w:r>
      <w:r w:rsidR="003879C7" w:rsidRPr="00262711">
        <w:rPr>
          <w:lang w:val="en-GB"/>
        </w:rPr>
        <w:t>) to 4 (</w:t>
      </w:r>
      <w:r w:rsidR="00433E50" w:rsidRPr="00BA50D8">
        <w:rPr>
          <w:i/>
          <w:lang w:val="en-GB"/>
        </w:rPr>
        <w:t>Highly</w:t>
      </w:r>
      <w:r w:rsidR="003879C7" w:rsidRPr="00262711">
        <w:rPr>
          <w:lang w:val="en-GB"/>
        </w:rPr>
        <w:t>).</w:t>
      </w:r>
      <w:r w:rsidR="00433E50" w:rsidRPr="00262711">
        <w:rPr>
          <w:lang w:val="en-GB"/>
        </w:rPr>
        <w:t xml:space="preserve"> </w:t>
      </w:r>
      <w:r w:rsidR="00A84577" w:rsidRPr="00262711">
        <w:rPr>
          <w:lang w:val="en-GB"/>
        </w:rPr>
        <w:t xml:space="preserve">The </w:t>
      </w:r>
      <w:r w:rsidR="00023EBD" w:rsidRPr="00262711">
        <w:rPr>
          <w:lang w:val="en-GB"/>
        </w:rPr>
        <w:t>English</w:t>
      </w:r>
      <w:r w:rsidR="00A84577" w:rsidRPr="00262711">
        <w:rPr>
          <w:lang w:val="en-GB"/>
        </w:rPr>
        <w:t xml:space="preserve"> version of the </w:t>
      </w:r>
      <w:r w:rsidR="00023EBD" w:rsidRPr="00262711">
        <w:rPr>
          <w:lang w:val="en-GB"/>
        </w:rPr>
        <w:t>measure</w:t>
      </w:r>
      <w:r w:rsidR="00A84577" w:rsidRPr="00262711">
        <w:rPr>
          <w:lang w:val="en-GB"/>
        </w:rPr>
        <w:t xml:space="preserve"> was translated into </w:t>
      </w:r>
      <w:r w:rsidR="00023EBD" w:rsidRPr="00262711">
        <w:rPr>
          <w:lang w:val="en-GB"/>
        </w:rPr>
        <w:t xml:space="preserve">German by a bilingual German-English </w:t>
      </w:r>
      <w:r w:rsidR="00A84577" w:rsidRPr="00262711">
        <w:rPr>
          <w:lang w:val="en-GB"/>
        </w:rPr>
        <w:t>speaker;</w:t>
      </w:r>
      <w:r w:rsidR="00023EBD" w:rsidRPr="00262711">
        <w:rPr>
          <w:lang w:val="en-GB"/>
        </w:rPr>
        <w:t xml:space="preserve"> t</w:t>
      </w:r>
      <w:r w:rsidR="00A84577" w:rsidRPr="00262711">
        <w:rPr>
          <w:lang w:val="en-GB"/>
        </w:rPr>
        <w:t>his vers</w:t>
      </w:r>
      <w:r w:rsidR="00023EBD" w:rsidRPr="00262711">
        <w:rPr>
          <w:lang w:val="en-GB"/>
        </w:rPr>
        <w:t>ion was then back-translated to English</w:t>
      </w:r>
      <w:r w:rsidR="00A84577" w:rsidRPr="00262711">
        <w:rPr>
          <w:lang w:val="en-GB"/>
        </w:rPr>
        <w:t xml:space="preserve"> by a </w:t>
      </w:r>
      <w:r w:rsidR="00535EB6" w:rsidRPr="00262711">
        <w:rPr>
          <w:lang w:val="en-GB"/>
        </w:rPr>
        <w:t xml:space="preserve">different </w:t>
      </w:r>
      <w:r w:rsidR="00A84577" w:rsidRPr="00262711">
        <w:rPr>
          <w:lang w:val="en-GB"/>
        </w:rPr>
        <w:t>bilingual English</w:t>
      </w:r>
      <w:r w:rsidR="00023EBD" w:rsidRPr="00262711">
        <w:rPr>
          <w:lang w:val="en-GB"/>
        </w:rPr>
        <w:t>-German speaker. T</w:t>
      </w:r>
      <w:r w:rsidR="00A84577" w:rsidRPr="00262711">
        <w:rPr>
          <w:lang w:val="en-GB"/>
        </w:rPr>
        <w:t xml:space="preserve">he resultant back-translated </w:t>
      </w:r>
      <w:r w:rsidR="00023EBD" w:rsidRPr="00262711">
        <w:rPr>
          <w:lang w:val="en-GB"/>
        </w:rPr>
        <w:t>English</w:t>
      </w:r>
      <w:r w:rsidR="00A84577" w:rsidRPr="00262711">
        <w:rPr>
          <w:lang w:val="en-GB"/>
        </w:rPr>
        <w:t xml:space="preserve"> items were checked against</w:t>
      </w:r>
      <w:r w:rsidR="00023EBD" w:rsidRPr="00262711">
        <w:rPr>
          <w:lang w:val="en-GB"/>
        </w:rPr>
        <w:t xml:space="preserve"> </w:t>
      </w:r>
      <w:r w:rsidR="00A84577" w:rsidRPr="00262711">
        <w:rPr>
          <w:lang w:val="en-GB"/>
        </w:rPr>
        <w:t xml:space="preserve">the original </w:t>
      </w:r>
      <w:r w:rsidR="00023EBD" w:rsidRPr="00262711">
        <w:rPr>
          <w:lang w:val="en-GB"/>
        </w:rPr>
        <w:t>English</w:t>
      </w:r>
      <w:r w:rsidR="00A84577" w:rsidRPr="00262711">
        <w:rPr>
          <w:lang w:val="en-GB"/>
        </w:rPr>
        <w:t xml:space="preserve"> items</w:t>
      </w:r>
      <w:r w:rsidR="00023EBD" w:rsidRPr="00262711">
        <w:rPr>
          <w:lang w:val="en-GB"/>
        </w:rPr>
        <w:t xml:space="preserve"> by </w:t>
      </w:r>
      <w:r w:rsidR="00535EB6" w:rsidRPr="00262711">
        <w:rPr>
          <w:lang w:val="en-GB"/>
        </w:rPr>
        <w:t xml:space="preserve">one of the developers of the RST-PQ who is a native </w:t>
      </w:r>
      <w:r w:rsidR="00535EB6" w:rsidRPr="00262711">
        <w:rPr>
          <w:lang w:val="en-GB"/>
        </w:rPr>
        <w:lastRenderedPageBreak/>
        <w:t>English speaker</w:t>
      </w:r>
      <w:r w:rsidR="002345A3" w:rsidRPr="00262711">
        <w:rPr>
          <w:lang w:val="en-GB"/>
        </w:rPr>
        <w:t>.</w:t>
      </w:r>
      <w:r w:rsidR="00023EBD" w:rsidRPr="00262711">
        <w:rPr>
          <w:lang w:val="en-GB"/>
        </w:rPr>
        <w:t xml:space="preserve"> </w:t>
      </w:r>
      <w:r w:rsidR="002345A3" w:rsidRPr="00262711">
        <w:rPr>
          <w:lang w:val="en-GB"/>
        </w:rPr>
        <w:t>S</w:t>
      </w:r>
      <w:r w:rsidR="00023EBD" w:rsidRPr="00262711">
        <w:rPr>
          <w:lang w:val="en-GB"/>
        </w:rPr>
        <w:t>ome minor modiﬁcations were made to several of the items</w:t>
      </w:r>
      <w:r w:rsidR="00A84577" w:rsidRPr="00262711">
        <w:rPr>
          <w:lang w:val="en-GB"/>
        </w:rPr>
        <w:t>.</w:t>
      </w:r>
      <w:r w:rsidR="00023EBD" w:rsidRPr="00262711">
        <w:rPr>
          <w:lang w:val="en-GB"/>
        </w:rPr>
        <w:t xml:space="preserve"> </w:t>
      </w:r>
      <w:r w:rsidR="002345A3" w:rsidRPr="00262711">
        <w:rPr>
          <w:lang w:val="en-GB"/>
        </w:rPr>
        <w:t>The final version of the German RST-PQ is given in</w:t>
      </w:r>
      <w:r w:rsidR="00535EB6" w:rsidRPr="00262711">
        <w:rPr>
          <w:lang w:val="en-GB"/>
        </w:rPr>
        <w:t xml:space="preserve"> </w:t>
      </w:r>
      <w:r w:rsidR="00936684">
        <w:rPr>
          <w:lang w:val="en-GB"/>
        </w:rPr>
        <w:t>Electronic</w:t>
      </w:r>
      <w:r w:rsidR="002345A3" w:rsidRPr="00262711">
        <w:rPr>
          <w:lang w:val="en-GB"/>
        </w:rPr>
        <w:t xml:space="preserve"> </w:t>
      </w:r>
      <w:r w:rsidR="00936684">
        <w:rPr>
          <w:lang w:val="en-GB"/>
        </w:rPr>
        <w:t>S</w:t>
      </w:r>
      <w:r w:rsidR="002345A3" w:rsidRPr="00262711">
        <w:rPr>
          <w:lang w:val="en-GB"/>
        </w:rPr>
        <w:t xml:space="preserve">upplementary </w:t>
      </w:r>
      <w:r w:rsidR="00936684">
        <w:rPr>
          <w:lang w:val="en-GB"/>
        </w:rPr>
        <w:t>M</w:t>
      </w:r>
      <w:r w:rsidR="002345A3" w:rsidRPr="00262711">
        <w:rPr>
          <w:lang w:val="en-GB"/>
        </w:rPr>
        <w:t>aterial</w:t>
      </w:r>
      <w:r w:rsidR="00936684">
        <w:rPr>
          <w:lang w:val="en-GB"/>
        </w:rPr>
        <w:t xml:space="preserve"> 1</w:t>
      </w:r>
      <w:r w:rsidR="00444283" w:rsidRPr="00262711">
        <w:rPr>
          <w:lang w:val="en-GB"/>
        </w:rPr>
        <w:t>.</w:t>
      </w:r>
      <w:r w:rsidR="002345A3" w:rsidRPr="00262711">
        <w:rPr>
          <w:lang w:val="en-GB"/>
        </w:rPr>
        <w:t xml:space="preserve"> </w:t>
      </w:r>
      <w:r w:rsidR="00A84577" w:rsidRPr="00262711">
        <w:rPr>
          <w:lang w:val="en-GB"/>
        </w:rPr>
        <w:t>C</w:t>
      </w:r>
      <w:r w:rsidR="00433E50" w:rsidRPr="00262711">
        <w:rPr>
          <w:lang w:val="en-GB"/>
        </w:rPr>
        <w:t>ronbach’s alpha values</w:t>
      </w:r>
      <w:r w:rsidR="002E314B">
        <w:rPr>
          <w:lang w:val="en-GB"/>
        </w:rPr>
        <w:t xml:space="preserve"> for</w:t>
      </w:r>
      <w:r w:rsidR="00433E50" w:rsidRPr="00262711">
        <w:rPr>
          <w:lang w:val="en-GB"/>
        </w:rPr>
        <w:t xml:space="preserve"> </w:t>
      </w:r>
      <w:r w:rsidR="006A3D15">
        <w:rPr>
          <w:lang w:val="en-GB"/>
        </w:rPr>
        <w:t xml:space="preserve">the six scales in the current </w:t>
      </w:r>
      <w:r w:rsidR="002E314B">
        <w:rPr>
          <w:lang w:val="en-GB"/>
        </w:rPr>
        <w:t>are reported in</w:t>
      </w:r>
      <w:r w:rsidR="006A3D15">
        <w:rPr>
          <w:lang w:val="en-GB"/>
        </w:rPr>
        <w:t xml:space="preserve"> Table 3.</w:t>
      </w:r>
      <w:r w:rsidR="00433E50" w:rsidRPr="00262711">
        <w:rPr>
          <w:lang w:val="en-GB"/>
        </w:rPr>
        <w:t xml:space="preserve"> </w:t>
      </w:r>
    </w:p>
    <w:p w14:paraId="66A9E263" w14:textId="77777777" w:rsidR="00023EBD" w:rsidRPr="00262711" w:rsidRDefault="00023EBD" w:rsidP="00880C77">
      <w:pPr>
        <w:spacing w:line="480" w:lineRule="auto"/>
        <w:ind w:firstLine="720"/>
        <w:rPr>
          <w:highlight w:val="yellow"/>
          <w:lang w:val="en-GB"/>
        </w:rPr>
      </w:pPr>
      <w:r w:rsidRPr="00BA50D8">
        <w:rPr>
          <w:b/>
          <w:lang w:val="en-GB"/>
        </w:rPr>
        <w:t xml:space="preserve">The </w:t>
      </w:r>
      <w:r w:rsidR="004A0532" w:rsidRPr="00BA50D8">
        <w:rPr>
          <w:b/>
          <w:lang w:val="en-GB"/>
        </w:rPr>
        <w:t>NEO</w:t>
      </w:r>
      <w:r w:rsidRPr="00BA50D8">
        <w:rPr>
          <w:b/>
          <w:lang w:val="en-GB"/>
        </w:rPr>
        <w:t>-FFI.</w:t>
      </w:r>
      <w:r w:rsidRPr="00262711">
        <w:rPr>
          <w:i/>
          <w:lang w:val="en-GB"/>
        </w:rPr>
        <w:t xml:space="preserve"> </w:t>
      </w:r>
      <w:r w:rsidRPr="00262711">
        <w:rPr>
          <w:lang w:val="en-GB"/>
        </w:rPr>
        <w:t>The N</w:t>
      </w:r>
      <w:r w:rsidR="004A0532" w:rsidRPr="00262711">
        <w:rPr>
          <w:lang w:val="en-GB"/>
        </w:rPr>
        <w:t>EO</w:t>
      </w:r>
      <w:r w:rsidRPr="00262711">
        <w:rPr>
          <w:lang w:val="en-GB"/>
        </w:rPr>
        <w:t>-FFI (Costa &amp; McCrae, 19</w:t>
      </w:r>
      <w:r w:rsidR="00973B39">
        <w:rPr>
          <w:lang w:val="en-GB"/>
        </w:rPr>
        <w:t>92</w:t>
      </w:r>
      <w:r w:rsidRPr="00262711">
        <w:rPr>
          <w:lang w:val="en-GB"/>
        </w:rPr>
        <w:t xml:space="preserve">; Borkenau &amp; Ostendorf, 1993) is an established </w:t>
      </w:r>
      <w:r w:rsidR="000B6BB6" w:rsidRPr="00262711">
        <w:rPr>
          <w:lang w:val="en-GB"/>
        </w:rPr>
        <w:t xml:space="preserve">60-item self-report </w:t>
      </w:r>
      <w:r w:rsidR="00446605" w:rsidRPr="00262711">
        <w:rPr>
          <w:lang w:val="en-GB"/>
        </w:rPr>
        <w:t>measure of the five-</w:t>
      </w:r>
      <w:r w:rsidRPr="00262711">
        <w:rPr>
          <w:lang w:val="en-GB"/>
        </w:rPr>
        <w:t xml:space="preserve">factor model of personality. </w:t>
      </w:r>
      <w:r w:rsidR="00563812" w:rsidRPr="00262711">
        <w:rPr>
          <w:lang w:val="en-GB"/>
        </w:rPr>
        <w:t>It has a Likert-type response format, ranging from 1 (</w:t>
      </w:r>
      <w:r w:rsidR="00B14A50" w:rsidRPr="00BA50D8">
        <w:rPr>
          <w:i/>
          <w:lang w:val="en-GB"/>
        </w:rPr>
        <w:t>di</w:t>
      </w:r>
      <w:r w:rsidR="00563812" w:rsidRPr="00BA50D8">
        <w:rPr>
          <w:i/>
          <w:lang w:val="en-GB"/>
        </w:rPr>
        <w:t>s</w:t>
      </w:r>
      <w:r w:rsidR="00B14A50" w:rsidRPr="00BA50D8">
        <w:rPr>
          <w:i/>
          <w:lang w:val="en-GB"/>
        </w:rPr>
        <w:t>a</w:t>
      </w:r>
      <w:r w:rsidR="00563812" w:rsidRPr="00BA50D8">
        <w:rPr>
          <w:i/>
          <w:lang w:val="en-GB"/>
        </w:rPr>
        <w:t>gree strongly</w:t>
      </w:r>
      <w:r w:rsidR="00563812" w:rsidRPr="00262711">
        <w:rPr>
          <w:lang w:val="en-GB"/>
        </w:rPr>
        <w:t>) to 5 (</w:t>
      </w:r>
      <w:r w:rsidR="00563812" w:rsidRPr="00BA50D8">
        <w:rPr>
          <w:i/>
          <w:lang w:val="en-GB"/>
        </w:rPr>
        <w:t>agree strongly</w:t>
      </w:r>
      <w:r w:rsidR="00563812" w:rsidRPr="00262711">
        <w:rPr>
          <w:lang w:val="en-GB"/>
        </w:rPr>
        <w:t xml:space="preserve">). </w:t>
      </w:r>
      <w:r w:rsidRPr="00262711">
        <w:rPr>
          <w:lang w:val="en-GB"/>
        </w:rPr>
        <w:t>Cronbach’s alpha values for Extraversion, Neuroticism, Conscientiousness, Ag</w:t>
      </w:r>
      <w:r w:rsidR="000F5CC6" w:rsidRPr="00262711">
        <w:rPr>
          <w:lang w:val="en-GB"/>
        </w:rPr>
        <w:t>reeableness</w:t>
      </w:r>
      <w:r w:rsidR="00863BBB">
        <w:rPr>
          <w:lang w:val="en-GB"/>
        </w:rPr>
        <w:t>,</w:t>
      </w:r>
      <w:r w:rsidR="000F5CC6" w:rsidRPr="00262711">
        <w:rPr>
          <w:lang w:val="en-GB"/>
        </w:rPr>
        <w:t xml:space="preserve"> and Openness </w:t>
      </w:r>
      <w:r w:rsidR="008B68B2">
        <w:rPr>
          <w:lang w:val="en-GB"/>
        </w:rPr>
        <w:t xml:space="preserve">in the current study </w:t>
      </w:r>
      <w:r w:rsidR="000F5CC6" w:rsidRPr="00262711">
        <w:rPr>
          <w:lang w:val="en-GB"/>
        </w:rPr>
        <w:t>were 0.82, 0.85, 0.83, 0.73 and 0.71</w:t>
      </w:r>
      <w:r w:rsidR="00EE2CEC">
        <w:rPr>
          <w:lang w:val="en-GB"/>
        </w:rPr>
        <w:t>, respectively.</w:t>
      </w:r>
    </w:p>
    <w:p w14:paraId="66A9E264" w14:textId="77777777" w:rsidR="00BD0543" w:rsidRPr="00262711" w:rsidRDefault="00BD0543" w:rsidP="00880C77">
      <w:pPr>
        <w:spacing w:line="480" w:lineRule="auto"/>
        <w:ind w:firstLine="720"/>
        <w:rPr>
          <w:lang w:val="en-GB"/>
        </w:rPr>
      </w:pPr>
      <w:r w:rsidRPr="00BA50D8">
        <w:rPr>
          <w:b/>
          <w:lang w:val="en-GB"/>
        </w:rPr>
        <w:t>The State–Trait Anxiety Inventory.</w:t>
      </w:r>
      <w:r w:rsidR="00973B39">
        <w:rPr>
          <w:lang w:val="en-GB"/>
        </w:rPr>
        <w:t xml:space="preserve"> The State-</w:t>
      </w:r>
      <w:r w:rsidRPr="00262711">
        <w:rPr>
          <w:lang w:val="en-GB"/>
        </w:rPr>
        <w:t>Trait Anxiety Inventory Form-Y2 (STAI; Spielberger, Gorsuch, Lushene, Vagg, &amp; Jacobs, 1983</w:t>
      </w:r>
      <w:r w:rsidR="00A87969" w:rsidRPr="00262711">
        <w:rPr>
          <w:lang w:val="en-GB"/>
        </w:rPr>
        <w:t xml:space="preserve">; </w:t>
      </w:r>
      <w:r w:rsidR="00F07F62" w:rsidRPr="00262711">
        <w:rPr>
          <w:lang w:val="en-GB"/>
        </w:rPr>
        <w:t xml:space="preserve">Laux </w:t>
      </w:r>
      <w:r w:rsidR="003D745B" w:rsidRPr="00262711">
        <w:rPr>
          <w:lang w:val="en-GB"/>
        </w:rPr>
        <w:t xml:space="preserve">&amp; Spielberger, </w:t>
      </w:r>
      <w:r w:rsidR="00A87969" w:rsidRPr="00262711">
        <w:rPr>
          <w:lang w:val="en-GB"/>
        </w:rPr>
        <w:t>1981</w:t>
      </w:r>
      <w:r w:rsidRPr="00262711">
        <w:rPr>
          <w:lang w:val="en-GB"/>
        </w:rPr>
        <w:t>) is a 40-item self-report measure of trait and state anxiety. Only trait anxiety was measured in the current study. Items were rated on a four-point Likert-type response format, ranging from 1 (</w:t>
      </w:r>
      <w:r w:rsidRPr="00BA50D8">
        <w:rPr>
          <w:i/>
          <w:lang w:val="en-GB"/>
        </w:rPr>
        <w:t>almost never</w:t>
      </w:r>
      <w:r w:rsidRPr="00262711">
        <w:rPr>
          <w:lang w:val="en-GB"/>
        </w:rPr>
        <w:t>) to 4 (</w:t>
      </w:r>
      <w:r w:rsidRPr="00BA50D8">
        <w:rPr>
          <w:i/>
          <w:lang w:val="en-GB"/>
        </w:rPr>
        <w:t>almost always</w:t>
      </w:r>
      <w:r w:rsidRPr="00262711">
        <w:rPr>
          <w:lang w:val="en-GB"/>
        </w:rPr>
        <w:t xml:space="preserve">). Items </w:t>
      </w:r>
      <w:r w:rsidR="00F51985" w:rsidRPr="00262711">
        <w:rPr>
          <w:lang w:val="en-GB"/>
        </w:rPr>
        <w:t xml:space="preserve">were </w:t>
      </w:r>
      <w:r w:rsidRPr="00262711">
        <w:rPr>
          <w:lang w:val="en-GB"/>
        </w:rPr>
        <w:t xml:space="preserve">summed to form </w:t>
      </w:r>
      <w:r w:rsidR="00EC5635" w:rsidRPr="00262711">
        <w:rPr>
          <w:lang w:val="en-GB"/>
        </w:rPr>
        <w:t>a total score for trait anxiety</w:t>
      </w:r>
      <w:r w:rsidRPr="00262711">
        <w:rPr>
          <w:lang w:val="en-GB"/>
        </w:rPr>
        <w:t xml:space="preserve">. </w:t>
      </w:r>
      <w:r w:rsidR="00C953AF" w:rsidRPr="00262711">
        <w:rPr>
          <w:lang w:val="en-GB"/>
        </w:rPr>
        <w:t xml:space="preserve">The </w:t>
      </w:r>
      <w:r w:rsidRPr="00262711">
        <w:rPr>
          <w:lang w:val="en-GB"/>
        </w:rPr>
        <w:t>Cronbach’s alpha</w:t>
      </w:r>
      <w:r w:rsidR="00C953AF" w:rsidRPr="00262711">
        <w:rPr>
          <w:lang w:val="en-GB"/>
        </w:rPr>
        <w:t xml:space="preserve"> value in the current study</w:t>
      </w:r>
      <w:r w:rsidRPr="00262711">
        <w:rPr>
          <w:lang w:val="en-GB"/>
        </w:rPr>
        <w:t xml:space="preserve"> was </w:t>
      </w:r>
      <w:r w:rsidR="0087696C" w:rsidRPr="00262711">
        <w:rPr>
          <w:lang w:val="en-GB"/>
        </w:rPr>
        <w:t>0.89</w:t>
      </w:r>
      <w:r w:rsidRPr="00262711">
        <w:rPr>
          <w:lang w:val="en-GB"/>
        </w:rPr>
        <w:t>.</w:t>
      </w:r>
    </w:p>
    <w:p w14:paraId="66A9E265" w14:textId="77777777" w:rsidR="00C41BEA" w:rsidRPr="00262711" w:rsidRDefault="00C41BEA" w:rsidP="00880C77">
      <w:pPr>
        <w:spacing w:line="480" w:lineRule="auto"/>
        <w:ind w:firstLine="720"/>
        <w:rPr>
          <w:lang w:val="en-GB"/>
        </w:rPr>
      </w:pPr>
      <w:r w:rsidRPr="00BA50D8">
        <w:rPr>
          <w:b/>
          <w:lang w:val="en-GB"/>
        </w:rPr>
        <w:t>A German version of the Fear Survey Schedule.</w:t>
      </w:r>
      <w:r w:rsidRPr="00262711">
        <w:rPr>
          <w:lang w:val="en-GB"/>
        </w:rPr>
        <w:t xml:space="preserve"> The Fear Survey Schedule (FSS; Wolpe &amp; Lange, 19</w:t>
      </w:r>
      <w:r w:rsidR="00973B39">
        <w:rPr>
          <w:lang w:val="en-GB"/>
        </w:rPr>
        <w:t>77</w:t>
      </w:r>
      <w:r w:rsidRPr="00262711">
        <w:rPr>
          <w:lang w:val="en-GB"/>
        </w:rPr>
        <w:t xml:space="preserve">) is one of the most widely used measures of fear. The FSS comprises a list of items representing specific aversive stimuli such as </w:t>
      </w:r>
      <w:r w:rsidRPr="00262711">
        <w:rPr>
          <w:i/>
          <w:lang w:val="en-GB"/>
        </w:rPr>
        <w:t xml:space="preserve">‘open wounds’ </w:t>
      </w:r>
      <w:r w:rsidRPr="00262711">
        <w:rPr>
          <w:lang w:val="en-GB"/>
        </w:rPr>
        <w:t xml:space="preserve">or </w:t>
      </w:r>
      <w:r w:rsidRPr="00262711">
        <w:rPr>
          <w:i/>
          <w:lang w:val="en-GB"/>
        </w:rPr>
        <w:t>‘making mistakes’</w:t>
      </w:r>
      <w:r w:rsidRPr="00262711">
        <w:rPr>
          <w:lang w:val="en-GB"/>
        </w:rPr>
        <w:t>. Different versions of the FSS, ranging in length from 8 items to 108 items, have been developed. The current study used a five</w:t>
      </w:r>
      <w:r w:rsidR="002C5ACB" w:rsidRPr="00262711">
        <w:rPr>
          <w:lang w:val="en-GB"/>
        </w:rPr>
        <w:t>-</w:t>
      </w:r>
      <w:r w:rsidRPr="00262711">
        <w:rPr>
          <w:lang w:val="en-GB"/>
        </w:rPr>
        <w:t xml:space="preserve">factor solution from the FSS based on a subset of 52 FSS items (Arrindell, 1980). The English version of the measure was translated into German </w:t>
      </w:r>
      <w:r w:rsidR="00DD74F4" w:rsidRPr="00262711">
        <w:rPr>
          <w:lang w:val="en-GB"/>
        </w:rPr>
        <w:t xml:space="preserve">in </w:t>
      </w:r>
      <w:r w:rsidRPr="00262711">
        <w:rPr>
          <w:lang w:val="en-GB"/>
        </w:rPr>
        <w:t>the same way as the RST-PQ. Respondents indicated, using a scale of 0 (</w:t>
      </w:r>
      <w:r w:rsidRPr="00BA50D8">
        <w:rPr>
          <w:i/>
          <w:lang w:val="en-GB"/>
        </w:rPr>
        <w:t>no fear</w:t>
      </w:r>
      <w:r w:rsidRPr="00262711">
        <w:rPr>
          <w:lang w:val="en-GB"/>
        </w:rPr>
        <w:t>) to 4 (</w:t>
      </w:r>
      <w:r w:rsidRPr="00BA50D8">
        <w:rPr>
          <w:i/>
          <w:lang w:val="en-GB"/>
        </w:rPr>
        <w:t>very much fear</w:t>
      </w:r>
      <w:r w:rsidRPr="00262711">
        <w:rPr>
          <w:lang w:val="en-GB"/>
        </w:rPr>
        <w:t>), how much they would be disturbed by each item. Total scores for each factor were derived by summing scores across the items within each respective factor. Cronbach’s alpha values for the five factors Tissue Damage Fear, Social Fear, Fear of Sexual or Aggressive situations, Agoraphobia</w:t>
      </w:r>
      <w:r w:rsidR="00863BBB">
        <w:rPr>
          <w:lang w:val="en-GB"/>
        </w:rPr>
        <w:t>,</w:t>
      </w:r>
      <w:r w:rsidRPr="00262711">
        <w:rPr>
          <w:lang w:val="en-GB"/>
        </w:rPr>
        <w:t xml:space="preserve"> and Animal Fear</w:t>
      </w:r>
      <w:r w:rsidR="008B68B2">
        <w:rPr>
          <w:lang w:val="en-GB"/>
        </w:rPr>
        <w:t xml:space="preserve"> in the current study</w:t>
      </w:r>
      <w:r w:rsidRPr="00262711">
        <w:rPr>
          <w:lang w:val="en-GB"/>
        </w:rPr>
        <w:t xml:space="preserve"> were 0.82, 0.92, 0.71, 0.68</w:t>
      </w:r>
      <w:r w:rsidR="00863BBB">
        <w:rPr>
          <w:lang w:val="en-GB"/>
        </w:rPr>
        <w:t>,</w:t>
      </w:r>
      <w:r w:rsidRPr="00262711">
        <w:rPr>
          <w:lang w:val="en-GB"/>
        </w:rPr>
        <w:t xml:space="preserve"> and 0.77, respectively.</w:t>
      </w:r>
    </w:p>
    <w:p w14:paraId="66A9E266" w14:textId="77777777" w:rsidR="003601EB" w:rsidRPr="00262711" w:rsidRDefault="006F328A" w:rsidP="00880C77">
      <w:pPr>
        <w:spacing w:line="480" w:lineRule="auto"/>
        <w:ind w:firstLine="720"/>
        <w:rPr>
          <w:lang w:val="en-GB"/>
        </w:rPr>
      </w:pPr>
      <w:r w:rsidRPr="00BA50D8">
        <w:rPr>
          <w:b/>
          <w:lang w:val="en-GB"/>
        </w:rPr>
        <w:lastRenderedPageBreak/>
        <w:t xml:space="preserve">The </w:t>
      </w:r>
      <w:r w:rsidR="00C41BEA" w:rsidRPr="00BA50D8">
        <w:rPr>
          <w:b/>
          <w:lang w:val="en-GB"/>
        </w:rPr>
        <w:t>Barratt Impulsiveness Scale.</w:t>
      </w:r>
      <w:r w:rsidR="00C41BEA" w:rsidRPr="00262711">
        <w:rPr>
          <w:lang w:val="en-GB"/>
        </w:rPr>
        <w:t xml:space="preserve"> The Barratt Impulsiveness Scale (BIS-11; Patton et al</w:t>
      </w:r>
      <w:r w:rsidR="00973B39">
        <w:rPr>
          <w:lang w:val="en-GB"/>
        </w:rPr>
        <w:t>.,</w:t>
      </w:r>
      <w:r w:rsidR="00C41BEA" w:rsidRPr="00262711">
        <w:rPr>
          <w:lang w:val="en-GB"/>
        </w:rPr>
        <w:t xml:space="preserve"> 1995; Preuss et al., 2008) is a 30-item self-report measure of impulsivity. All items are answered on a four-point Likert-type scale, ranging from 1 </w:t>
      </w:r>
      <w:r w:rsidR="00C86DF8" w:rsidRPr="00262711">
        <w:rPr>
          <w:lang w:val="en-GB"/>
        </w:rPr>
        <w:t>(</w:t>
      </w:r>
      <w:r w:rsidR="00C86DF8" w:rsidRPr="00BA50D8">
        <w:rPr>
          <w:i/>
          <w:lang w:val="en-GB"/>
        </w:rPr>
        <w:t>rarely/n</w:t>
      </w:r>
      <w:r w:rsidR="00C41BEA" w:rsidRPr="00BA50D8">
        <w:rPr>
          <w:i/>
          <w:lang w:val="en-GB"/>
        </w:rPr>
        <w:t>ever</w:t>
      </w:r>
      <w:r w:rsidR="00C41BEA" w:rsidRPr="00262711">
        <w:rPr>
          <w:lang w:val="en-GB"/>
        </w:rPr>
        <w:t>) to 4 (</w:t>
      </w:r>
      <w:r w:rsidR="00C86DF8" w:rsidRPr="00BA50D8">
        <w:rPr>
          <w:i/>
          <w:lang w:val="en-GB"/>
        </w:rPr>
        <w:t>almost always/a</w:t>
      </w:r>
      <w:r w:rsidR="00C41BEA" w:rsidRPr="00BA50D8">
        <w:rPr>
          <w:i/>
          <w:lang w:val="en-GB"/>
        </w:rPr>
        <w:t>lways</w:t>
      </w:r>
      <w:r w:rsidR="00C41BEA" w:rsidRPr="00262711">
        <w:rPr>
          <w:lang w:val="en-GB"/>
        </w:rPr>
        <w:t xml:space="preserve">). Cronbach’s alpha for </w:t>
      </w:r>
      <w:r w:rsidR="0048567E" w:rsidRPr="00262711">
        <w:rPr>
          <w:lang w:val="en-GB"/>
        </w:rPr>
        <w:t xml:space="preserve">the BIS-11 total score </w:t>
      </w:r>
      <w:r w:rsidR="00C41BEA" w:rsidRPr="00262711">
        <w:rPr>
          <w:lang w:val="en-GB"/>
        </w:rPr>
        <w:t>was 0.82 in this study.</w:t>
      </w:r>
    </w:p>
    <w:p w14:paraId="66A9E267" w14:textId="77777777" w:rsidR="00BD0543" w:rsidRPr="00262711" w:rsidRDefault="00DB3892" w:rsidP="00BD0543">
      <w:pPr>
        <w:spacing w:line="480" w:lineRule="auto"/>
        <w:rPr>
          <w:b/>
          <w:bCs/>
          <w:lang w:val="en-GB"/>
        </w:rPr>
      </w:pPr>
      <w:r w:rsidRPr="00262711">
        <w:rPr>
          <w:b/>
          <w:bCs/>
          <w:lang w:val="en-GB"/>
        </w:rPr>
        <w:t>Data Analysis</w:t>
      </w:r>
    </w:p>
    <w:p w14:paraId="66A9E268" w14:textId="77777777" w:rsidR="00C80DE1" w:rsidRPr="00262711" w:rsidRDefault="00BC73D9" w:rsidP="00B265B6">
      <w:pPr>
        <w:spacing w:line="480" w:lineRule="auto"/>
        <w:ind w:firstLine="720"/>
        <w:rPr>
          <w:lang w:val="en-GB"/>
        </w:rPr>
      </w:pPr>
      <w:r w:rsidRPr="00262711">
        <w:rPr>
          <w:lang w:val="en-GB"/>
        </w:rPr>
        <w:t>C</w:t>
      </w:r>
      <w:r w:rsidR="0048567E" w:rsidRPr="00262711">
        <w:rPr>
          <w:lang w:val="en-GB"/>
        </w:rPr>
        <w:t>onfirmatory factor analys</w:t>
      </w:r>
      <w:r w:rsidRPr="00262711">
        <w:rPr>
          <w:lang w:val="en-GB"/>
        </w:rPr>
        <w:t>i</w:t>
      </w:r>
      <w:r w:rsidR="0048567E" w:rsidRPr="00262711">
        <w:rPr>
          <w:lang w:val="en-GB"/>
        </w:rPr>
        <w:t>s (</w:t>
      </w:r>
      <w:r w:rsidR="00BD0543" w:rsidRPr="00262711">
        <w:rPr>
          <w:lang w:val="en-GB"/>
        </w:rPr>
        <w:t>CFA</w:t>
      </w:r>
      <w:r w:rsidR="0048567E" w:rsidRPr="00262711">
        <w:rPr>
          <w:lang w:val="en-GB"/>
        </w:rPr>
        <w:t>)</w:t>
      </w:r>
      <w:r w:rsidR="00BD0543" w:rsidRPr="00262711">
        <w:rPr>
          <w:lang w:val="en-GB"/>
        </w:rPr>
        <w:t xml:space="preserve"> w</w:t>
      </w:r>
      <w:r w:rsidRPr="00262711">
        <w:rPr>
          <w:lang w:val="en-GB"/>
        </w:rPr>
        <w:t>as</w:t>
      </w:r>
      <w:r w:rsidR="00BD0543" w:rsidRPr="00262711">
        <w:rPr>
          <w:lang w:val="en-GB"/>
        </w:rPr>
        <w:t xml:space="preserve"> conducted with Mplus 7.11 (Muthén &amp; Muthén, 2012) using a mean and variance adjusted weighted least squares estimation of the sample covariance matrix. This estimation provides more precise results for categorical data in comparison to the frequently used maximum-likelihood-method</w:t>
      </w:r>
      <w:r w:rsidR="003B6F96">
        <w:rPr>
          <w:lang w:val="en-GB"/>
        </w:rPr>
        <w:t xml:space="preserve"> (Beauducel &amp; Herzberg, 2006)</w:t>
      </w:r>
      <w:r w:rsidR="00BD0543" w:rsidRPr="00262711">
        <w:rPr>
          <w:lang w:val="en-GB"/>
        </w:rPr>
        <w:t xml:space="preserve">. Model fit was ascertained using the </w:t>
      </w:r>
      <w:r w:rsidR="00BD0543" w:rsidRPr="0003746C">
        <w:rPr>
          <w:lang w:val="en-GB"/>
        </w:rPr>
        <w:t xml:space="preserve">minimum fit function </w:t>
      </w:r>
      <m:oMath>
        <m:r>
          <w:rPr>
            <w:rFonts w:ascii="Cambria Math" w:hAnsi="Cambria Math"/>
            <w:lang w:val="en-GB"/>
          </w:rPr>
          <m:t>χ²</m:t>
        </m:r>
      </m:oMath>
      <w:r w:rsidR="0003746C">
        <w:rPr>
          <w:lang w:val="en-GB"/>
        </w:rPr>
        <w:t xml:space="preserve">. </w:t>
      </w:r>
      <w:r w:rsidR="00BD0543" w:rsidRPr="00262711">
        <w:rPr>
          <w:lang w:val="en-GB"/>
        </w:rPr>
        <w:t xml:space="preserve">As </w:t>
      </w:r>
      <m:oMath>
        <m:r>
          <w:rPr>
            <w:rFonts w:ascii="Cambria Math" w:hAnsi="Cambria Math"/>
            <w:lang w:val="en-GB"/>
          </w:rPr>
          <m:t>χ²</m:t>
        </m:r>
      </m:oMath>
      <w:r w:rsidR="00BD0543" w:rsidRPr="00262711">
        <w:rPr>
          <w:lang w:val="en-GB"/>
        </w:rPr>
        <w:t xml:space="preserve"> values are potentially inflated by large sample sizes, fit was also examined using the </w:t>
      </w:r>
      <w:r w:rsidR="00F95ABC" w:rsidRPr="00262711">
        <w:rPr>
          <w:lang w:val="en-GB"/>
        </w:rPr>
        <w:t xml:space="preserve">root </w:t>
      </w:r>
      <w:r w:rsidR="00BD0543" w:rsidRPr="00262711">
        <w:rPr>
          <w:lang w:val="en-GB"/>
        </w:rPr>
        <w:t xml:space="preserve">mean square error of approximation (RMSEA; Steiger, 1990) and the comparative fit index (CFI; Bentler, 1990). </w:t>
      </w:r>
      <w:r w:rsidR="00B265B6" w:rsidRPr="00B265B6">
        <w:rPr>
          <w:lang w:val="en-GB"/>
        </w:rPr>
        <w:t>These fit indexes have been</w:t>
      </w:r>
      <w:r w:rsidR="00B265B6">
        <w:rPr>
          <w:lang w:val="en-GB"/>
        </w:rPr>
        <w:t xml:space="preserve"> </w:t>
      </w:r>
      <w:r w:rsidR="00B265B6" w:rsidRPr="00B265B6">
        <w:rPr>
          <w:lang w:val="en-GB"/>
        </w:rPr>
        <w:t>demonstrated to reliably indicate model fit in models with factor loadings ranging between .40 and .60</w:t>
      </w:r>
      <w:r w:rsidR="00A26E0C">
        <w:rPr>
          <w:lang w:val="en-GB"/>
        </w:rPr>
        <w:t xml:space="preserve"> (Beauducel &amp; Wittmann, 2005). </w:t>
      </w:r>
      <w:r w:rsidR="00BD0543" w:rsidRPr="00262711">
        <w:rPr>
          <w:lang w:val="en-GB"/>
        </w:rPr>
        <w:t>The RMSEA provides a measure of model fit relative to the population covariance matrix when the complexity of the model is taken</w:t>
      </w:r>
      <w:r w:rsidR="0010428F" w:rsidRPr="00262711">
        <w:rPr>
          <w:lang w:val="en-GB"/>
        </w:rPr>
        <w:t xml:space="preserve"> into account. RMSEA values of </w:t>
      </w:r>
      <w:r w:rsidR="00BD0543" w:rsidRPr="00262711">
        <w:rPr>
          <w:lang w:val="en-GB"/>
        </w:rPr>
        <w:t>&lt; .05 are suggestive of good fit and .05 to .08 as moderate fit. The CFI provides a measure of the fit of the hypothesized model relative to the baseline or independent model, with values usually ranging from 0.00 to 1.00. For the CFI, values above .95 are suggestive of good model fit and values above 0</w:t>
      </w:r>
      <w:r w:rsidR="007B604D" w:rsidRPr="00262711">
        <w:rPr>
          <w:lang w:val="en-GB"/>
        </w:rPr>
        <w:t>.90 suggest adequate model fit</w:t>
      </w:r>
      <w:r w:rsidR="00BD0543" w:rsidRPr="00262711">
        <w:rPr>
          <w:lang w:val="en-GB"/>
        </w:rPr>
        <w:t xml:space="preserve">. </w:t>
      </w:r>
      <w:r w:rsidR="00BA128C" w:rsidRPr="003D3592">
        <w:rPr>
          <w:lang w:val="en-GB"/>
        </w:rPr>
        <w:t xml:space="preserve">Because the models were estimated by means of WLSMV, the significance tests for nested models were calculated with the </w:t>
      </w:r>
      <m:oMath>
        <m:r>
          <w:rPr>
            <w:rFonts w:ascii="Cambria Math" w:hAnsi="Cambria Math"/>
            <w:lang w:val="en-GB"/>
          </w:rPr>
          <m:t>χ²</m:t>
        </m:r>
      </m:oMath>
      <w:r w:rsidR="00BA128C" w:rsidRPr="003D3592">
        <w:rPr>
          <w:lang w:val="en-GB"/>
        </w:rPr>
        <w:t>difference test developed by Muthén and Muthén (Asparouhov &amp; Muthén, 2006).</w:t>
      </w:r>
      <w:r w:rsidR="00BA128C">
        <w:rPr>
          <w:lang w:val="en-GB"/>
        </w:rPr>
        <w:t xml:space="preserve"> </w:t>
      </w:r>
      <w:r w:rsidR="00BA128C" w:rsidRPr="003D3592">
        <w:rPr>
          <w:lang w:val="en-GB"/>
        </w:rPr>
        <w:t xml:space="preserve">We also investigated measurement </w:t>
      </w:r>
      <w:r w:rsidR="005206A1">
        <w:rPr>
          <w:lang w:val="en-GB"/>
        </w:rPr>
        <w:t>invariance</w:t>
      </w:r>
      <w:r w:rsidR="005206A1" w:rsidRPr="003D3592">
        <w:rPr>
          <w:lang w:val="en-GB"/>
        </w:rPr>
        <w:t xml:space="preserve"> </w:t>
      </w:r>
      <w:r w:rsidR="00BA128C" w:rsidRPr="003D3592">
        <w:rPr>
          <w:lang w:val="en-GB"/>
        </w:rPr>
        <w:t xml:space="preserve">for gender </w:t>
      </w:r>
      <w:r w:rsidR="00966FE9">
        <w:rPr>
          <w:lang w:val="en-GB"/>
        </w:rPr>
        <w:t xml:space="preserve">and age </w:t>
      </w:r>
      <w:r w:rsidR="00BA128C" w:rsidRPr="003D3592">
        <w:rPr>
          <w:lang w:val="en-GB"/>
        </w:rPr>
        <w:t>by means of Multiple-Indicator Multiple-Cause (MIMIC) models.</w:t>
      </w:r>
      <w:r w:rsidR="00BA128C">
        <w:rPr>
          <w:lang w:val="en-GB"/>
        </w:rPr>
        <w:t xml:space="preserve"> </w:t>
      </w:r>
      <w:r w:rsidR="005206A1">
        <w:rPr>
          <w:lang w:val="en-GB"/>
        </w:rPr>
        <w:t>Only</w:t>
      </w:r>
      <w:r w:rsidR="005206A1" w:rsidRPr="003D3592">
        <w:rPr>
          <w:lang w:val="en-GB"/>
        </w:rPr>
        <w:t xml:space="preserve"> </w:t>
      </w:r>
      <w:r w:rsidR="00BA128C" w:rsidRPr="003D3592">
        <w:rPr>
          <w:lang w:val="en-GB"/>
        </w:rPr>
        <w:t xml:space="preserve">modification indices equal or greater than 10 were regarded as substantial. </w:t>
      </w:r>
      <w:r w:rsidR="00BD0543" w:rsidRPr="00262711">
        <w:rPr>
          <w:lang w:val="en-GB"/>
        </w:rPr>
        <w:t xml:space="preserve">In order to address the construct validity of the German version of the RST-PQ, we explored </w:t>
      </w:r>
      <w:r w:rsidR="008C1476" w:rsidRPr="00262711">
        <w:rPr>
          <w:lang w:val="en-GB"/>
        </w:rPr>
        <w:lastRenderedPageBreak/>
        <w:t xml:space="preserve">Pearson </w:t>
      </w:r>
      <w:r w:rsidR="00BD0543" w:rsidRPr="00262711">
        <w:rPr>
          <w:lang w:val="en-GB"/>
        </w:rPr>
        <w:t>correlations</w:t>
      </w:r>
      <w:r w:rsidR="00294638" w:rsidRPr="00262711">
        <w:rPr>
          <w:lang w:val="en-GB"/>
        </w:rPr>
        <w:t xml:space="preserve"> of the RST-PQ scales</w:t>
      </w:r>
      <w:r w:rsidR="00BD0543" w:rsidRPr="00262711">
        <w:rPr>
          <w:lang w:val="en-GB"/>
        </w:rPr>
        <w:t xml:space="preserve"> with well-established measures of general personality. </w:t>
      </w:r>
    </w:p>
    <w:p w14:paraId="66A9E269" w14:textId="6F7678A9" w:rsidR="00C80DE1" w:rsidRDefault="00DB3892" w:rsidP="00D3129F">
      <w:pPr>
        <w:tabs>
          <w:tab w:val="left" w:pos="795"/>
        </w:tabs>
        <w:spacing w:line="480" w:lineRule="auto"/>
        <w:jc w:val="center"/>
        <w:rPr>
          <w:b/>
          <w:bCs/>
          <w:color w:val="000000" w:themeColor="text1"/>
          <w:lang w:val="en-GB"/>
        </w:rPr>
      </w:pPr>
      <w:r w:rsidRPr="00262711">
        <w:rPr>
          <w:b/>
          <w:bCs/>
          <w:color w:val="000000" w:themeColor="text1"/>
          <w:lang w:val="en-GB"/>
        </w:rPr>
        <w:t xml:space="preserve">Results </w:t>
      </w:r>
    </w:p>
    <w:p w14:paraId="6958F376" w14:textId="0B05C75E" w:rsidR="00347CCA" w:rsidRPr="00347CCA" w:rsidRDefault="00347CCA" w:rsidP="00347CCA">
      <w:pPr>
        <w:tabs>
          <w:tab w:val="left" w:pos="795"/>
        </w:tabs>
        <w:spacing w:line="480" w:lineRule="auto"/>
        <w:ind w:firstLine="720"/>
        <w:rPr>
          <w:bCs/>
          <w:color w:val="000000" w:themeColor="text1"/>
          <w:lang w:val="en-GB"/>
        </w:rPr>
      </w:pPr>
      <w:r w:rsidRPr="00347CCA">
        <w:rPr>
          <w:bCs/>
          <w:color w:val="000000" w:themeColor="text1"/>
          <w:lang w:val="en-GB"/>
        </w:rPr>
        <w:t xml:space="preserve">Skewness and kurtosis values for all items ranged from -1.48 to 1.52, and -1.00 to 2.33, respectively. According to Curran, West, and Finch (1996) skewness and kurtosis values of 0–2, and 0–7, respectively, can be taken as </w:t>
      </w:r>
      <w:r w:rsidR="00A90750">
        <w:rPr>
          <w:bCs/>
          <w:color w:val="000000" w:themeColor="text1"/>
          <w:lang w:val="en-GB"/>
        </w:rPr>
        <w:t>descriptive parameters of univariate normality</w:t>
      </w:r>
      <w:r w:rsidRPr="00347CCA">
        <w:rPr>
          <w:bCs/>
          <w:color w:val="000000" w:themeColor="text1"/>
          <w:lang w:val="en-GB"/>
        </w:rPr>
        <w:t>. Mardias Multivariate Normality Test indicated that the data is not multivariate normal distributed. To account for the fact of dealing with categorical data which doesn't conform to the multivariate normal distribution, the more robust WLSMV estimator was used for the confirmatory factor analyses</w:t>
      </w:r>
      <w:r>
        <w:rPr>
          <w:bCs/>
          <w:color w:val="000000" w:themeColor="text1"/>
          <w:lang w:val="en-GB"/>
        </w:rPr>
        <w:t>.</w:t>
      </w:r>
    </w:p>
    <w:p w14:paraId="66A9E26A" w14:textId="77777777" w:rsidR="006D609F" w:rsidRDefault="00D929FA" w:rsidP="006D609F">
      <w:pPr>
        <w:spacing w:line="480" w:lineRule="auto"/>
        <w:rPr>
          <w:b/>
          <w:lang w:val="en-GB"/>
        </w:rPr>
      </w:pPr>
      <w:r w:rsidRPr="00262711">
        <w:rPr>
          <w:b/>
          <w:lang w:val="en-GB"/>
        </w:rPr>
        <w:t xml:space="preserve">Confirmatory Factor </w:t>
      </w:r>
      <w:r w:rsidR="00DB0548" w:rsidRPr="00262711">
        <w:rPr>
          <w:b/>
          <w:lang w:val="en-GB"/>
        </w:rPr>
        <w:t>Analys</w:t>
      </w:r>
      <w:r w:rsidR="00BC73D9" w:rsidRPr="00262711">
        <w:rPr>
          <w:b/>
          <w:lang w:val="en-GB"/>
        </w:rPr>
        <w:t>i</w:t>
      </w:r>
      <w:r w:rsidR="00DB0548" w:rsidRPr="00262711">
        <w:rPr>
          <w:b/>
          <w:lang w:val="en-GB"/>
        </w:rPr>
        <w:t>s</w:t>
      </w:r>
    </w:p>
    <w:p w14:paraId="66A9E26B" w14:textId="77777777" w:rsidR="008B2783" w:rsidRPr="000E7D68" w:rsidRDefault="008B2783" w:rsidP="00065B92">
      <w:pPr>
        <w:spacing w:line="480" w:lineRule="auto"/>
        <w:ind w:firstLine="720"/>
        <w:rPr>
          <w:lang w:val="en-GB"/>
        </w:rPr>
      </w:pPr>
      <w:r w:rsidRPr="000E7D68">
        <w:rPr>
          <w:lang w:val="en-GB"/>
        </w:rPr>
        <w:t xml:space="preserve">The hypothesized model </w:t>
      </w:r>
      <w:r>
        <w:rPr>
          <w:lang w:val="en-GB"/>
        </w:rPr>
        <w:t>(Model 1) was a</w:t>
      </w:r>
      <w:r w:rsidRPr="000E7D68">
        <w:rPr>
          <w:lang w:val="en-GB"/>
        </w:rPr>
        <w:t xml:space="preserve"> </w:t>
      </w:r>
      <w:r w:rsidR="00C868A1">
        <w:rPr>
          <w:lang w:val="en-GB"/>
        </w:rPr>
        <w:t>six-</w:t>
      </w:r>
      <w:r>
        <w:rPr>
          <w:lang w:val="en-GB"/>
        </w:rPr>
        <w:t xml:space="preserve">factor </w:t>
      </w:r>
      <w:r w:rsidRPr="000E7D68">
        <w:rPr>
          <w:lang w:val="en-GB"/>
        </w:rPr>
        <w:t xml:space="preserve">single-order model with </w:t>
      </w:r>
      <w:r>
        <w:rPr>
          <w:lang w:val="en-GB"/>
        </w:rPr>
        <w:t xml:space="preserve">a </w:t>
      </w:r>
      <w:r w:rsidRPr="000E7D68">
        <w:rPr>
          <w:lang w:val="en-GB"/>
        </w:rPr>
        <w:t>BIS</w:t>
      </w:r>
      <w:r>
        <w:rPr>
          <w:lang w:val="en-GB"/>
        </w:rPr>
        <w:t xml:space="preserve"> factor, a</w:t>
      </w:r>
      <w:r w:rsidRPr="000E7D68">
        <w:rPr>
          <w:lang w:val="en-GB"/>
        </w:rPr>
        <w:t xml:space="preserve"> FFFS </w:t>
      </w:r>
      <w:r>
        <w:rPr>
          <w:lang w:val="en-GB"/>
        </w:rPr>
        <w:t xml:space="preserve">factor </w:t>
      </w:r>
      <w:r w:rsidRPr="000E7D68">
        <w:rPr>
          <w:lang w:val="en-GB"/>
        </w:rPr>
        <w:t xml:space="preserve">and four BAS factors (Reward Interest, Goal-Drive Persistence, Reward Reactivity, and Impulsivity) with all items freely loading on their respective </w:t>
      </w:r>
      <w:r w:rsidRPr="000E7D68">
        <w:rPr>
          <w:i/>
          <w:lang w:val="en-GB"/>
        </w:rPr>
        <w:t>a priori</w:t>
      </w:r>
      <w:r w:rsidRPr="000E7D68">
        <w:rPr>
          <w:lang w:val="en-GB"/>
        </w:rPr>
        <w:t xml:space="preserve"> latent factor and </w:t>
      </w:r>
      <w:r w:rsidR="000B122E">
        <w:rPr>
          <w:lang w:val="en-GB"/>
        </w:rPr>
        <w:t xml:space="preserve">loadings </w:t>
      </w:r>
      <w:r w:rsidRPr="000E7D68">
        <w:rPr>
          <w:lang w:val="en-GB"/>
        </w:rPr>
        <w:t xml:space="preserve">fixed at 0 for all other latent factors. The latent factors were free to correlate and all of the observed variable error terms were uncorrelated. </w:t>
      </w:r>
      <w:r>
        <w:rPr>
          <w:lang w:val="en-GB"/>
        </w:rPr>
        <w:t xml:space="preserve">This model corresponds to the final </w:t>
      </w:r>
      <w:r w:rsidRPr="000E7D68">
        <w:rPr>
          <w:lang w:val="en-GB"/>
        </w:rPr>
        <w:t>combined single-order factor model</w:t>
      </w:r>
      <w:r w:rsidR="00C868A1">
        <w:rPr>
          <w:lang w:val="en-GB"/>
        </w:rPr>
        <w:t>,</w:t>
      </w:r>
      <w:r>
        <w:rPr>
          <w:lang w:val="en-GB"/>
        </w:rPr>
        <w:t xml:space="preserve"> which was evaluated in</w:t>
      </w:r>
      <w:r w:rsidRPr="005E5FD9">
        <w:rPr>
          <w:lang w:val="en-GB"/>
        </w:rPr>
        <w:t xml:space="preserve"> the English version of the RST-PQ (Corr &amp; Cooper, 2016).</w:t>
      </w:r>
      <w:r>
        <w:rPr>
          <w:lang w:val="en-GB"/>
        </w:rPr>
        <w:t xml:space="preserve"> </w:t>
      </w:r>
      <w:r w:rsidRPr="000E7D68">
        <w:rPr>
          <w:lang w:val="en-GB"/>
        </w:rPr>
        <w:t xml:space="preserve">The model fit indices for </w:t>
      </w:r>
      <w:r>
        <w:rPr>
          <w:lang w:val="en-GB"/>
        </w:rPr>
        <w:t>Model 1</w:t>
      </w:r>
      <w:r w:rsidRPr="000E7D68">
        <w:rPr>
          <w:lang w:val="en-GB"/>
        </w:rPr>
        <w:t xml:space="preserve"> were as follows</w:t>
      </w:r>
      <w:r>
        <w:rPr>
          <w:lang w:val="en-GB"/>
        </w:rPr>
        <w:t xml:space="preserve"> in the current study</w:t>
      </w:r>
      <w:r w:rsidRPr="000E7D68">
        <w:rPr>
          <w:lang w:val="en-GB"/>
        </w:rPr>
        <w:t xml:space="preserve">: </w:t>
      </w:r>
      <w:r w:rsidRPr="000E7D68">
        <w:rPr>
          <w:bCs/>
          <w:i/>
          <w:iCs/>
          <w:lang w:val="en-GB"/>
        </w:rPr>
        <w:sym w:font="Symbol" w:char="F063"/>
      </w:r>
      <w:r w:rsidRPr="000E7D68">
        <w:rPr>
          <w:bCs/>
          <w:i/>
          <w:iCs/>
          <w:vertAlign w:val="superscript"/>
          <w:lang w:val="en-GB"/>
        </w:rPr>
        <w:t>2</w:t>
      </w:r>
      <w:r w:rsidR="00C868A1">
        <w:rPr>
          <w:bCs/>
          <w:iCs/>
          <w:lang w:val="en-GB"/>
        </w:rPr>
        <w:t xml:space="preserve"> (2118</w:t>
      </w:r>
      <w:r w:rsidRPr="000E7D68">
        <w:rPr>
          <w:bCs/>
          <w:iCs/>
          <w:lang w:val="en-GB"/>
        </w:rPr>
        <w:t xml:space="preserve">, </w:t>
      </w:r>
      <w:r w:rsidRPr="000E7D68">
        <w:rPr>
          <w:bCs/>
          <w:i/>
          <w:iCs/>
          <w:lang w:val="en-GB"/>
        </w:rPr>
        <w:t>N</w:t>
      </w:r>
      <w:r w:rsidR="00C868A1">
        <w:rPr>
          <w:bCs/>
          <w:iCs/>
          <w:lang w:val="en-GB"/>
        </w:rPr>
        <w:t xml:space="preserve"> = 527) = 4705.002</w:t>
      </w:r>
      <w:r w:rsidRPr="000E7D68">
        <w:rPr>
          <w:bCs/>
          <w:iCs/>
          <w:lang w:val="en-GB"/>
        </w:rPr>
        <w:t xml:space="preserve">, </w:t>
      </w:r>
      <w:r w:rsidRPr="000E7D68">
        <w:rPr>
          <w:bCs/>
          <w:i/>
          <w:iCs/>
          <w:lang w:val="en-GB"/>
        </w:rPr>
        <w:t xml:space="preserve">p </w:t>
      </w:r>
      <w:r w:rsidRPr="000E7D68">
        <w:rPr>
          <w:bCs/>
          <w:iCs/>
          <w:lang w:val="en-GB"/>
        </w:rPr>
        <w:t xml:space="preserve">&lt; </w:t>
      </w:r>
      <w:r w:rsidR="00C868A1">
        <w:rPr>
          <w:bCs/>
          <w:iCs/>
          <w:lang w:val="en-GB"/>
        </w:rPr>
        <w:t>.0001; CFI = 0.82; RMSEA = 0.048</w:t>
      </w:r>
      <w:r w:rsidRPr="000E7D68">
        <w:rPr>
          <w:lang w:val="en-GB"/>
        </w:rPr>
        <w:t>. This indicates acceptable global model fit in terms of the RMSEA, although it should b</w:t>
      </w:r>
      <w:r w:rsidR="00C868A1">
        <w:rPr>
          <w:lang w:val="en-GB"/>
        </w:rPr>
        <w:t xml:space="preserve">e noted that the CFI value is </w:t>
      </w:r>
      <w:r w:rsidRPr="000E7D68">
        <w:rPr>
          <w:lang w:val="en-GB"/>
        </w:rPr>
        <w:t>below the cutoff point often used for assessing acceptable model fit (0.90). Despite this, all items had a robust loading on their respective factor, and the global model fit indices are similar to those reported for the English version in Corr and Cooper (2016).</w:t>
      </w:r>
      <w:r>
        <w:rPr>
          <w:lang w:val="en-GB"/>
        </w:rPr>
        <w:t xml:space="preserve">  </w:t>
      </w:r>
      <w:r w:rsidRPr="005E5FD9">
        <w:rPr>
          <w:lang w:val="en-GB"/>
        </w:rPr>
        <w:t>The BIS and FFFS latent factors were significant</w:t>
      </w:r>
      <w:r>
        <w:rPr>
          <w:lang w:val="en-GB"/>
        </w:rPr>
        <w:t>ly positively correlated at 0.54</w:t>
      </w:r>
      <w:r w:rsidR="005B1F77">
        <w:rPr>
          <w:lang w:val="en-GB"/>
        </w:rPr>
        <w:t xml:space="preserve">. </w:t>
      </w:r>
      <w:r>
        <w:rPr>
          <w:lang w:val="en-GB"/>
        </w:rPr>
        <w:t xml:space="preserve">We investigate three alternative models which were all nested </w:t>
      </w:r>
      <w:r w:rsidR="000B122E">
        <w:rPr>
          <w:lang w:val="en-GB"/>
        </w:rPr>
        <w:t xml:space="preserve">under </w:t>
      </w:r>
      <w:r>
        <w:rPr>
          <w:lang w:val="en-GB"/>
        </w:rPr>
        <w:t xml:space="preserve">Model 1 </w:t>
      </w:r>
      <w:r w:rsidRPr="000E7D68">
        <w:rPr>
          <w:lang w:val="en-GB"/>
        </w:rPr>
        <w:t>and could therefore be compared to it by means of</w:t>
      </w:r>
      <w:r w:rsidR="000B122E">
        <w:rPr>
          <w:lang w:val="en-GB"/>
        </w:rPr>
        <w:t xml:space="preserve"> a </w:t>
      </w:r>
      <w:r w:rsidRPr="000E7D68">
        <w:rPr>
          <w:lang w:val="en-GB"/>
        </w:rPr>
        <w:t xml:space="preserve"> </w:t>
      </w:r>
      <m:oMath>
        <m:r>
          <w:rPr>
            <w:rFonts w:ascii="Cambria Math" w:hAnsi="Cambria Math"/>
            <w:lang w:val="en-GB"/>
          </w:rPr>
          <m:t>χ²</m:t>
        </m:r>
      </m:oMath>
      <w:r w:rsidRPr="000E7D68">
        <w:rPr>
          <w:lang w:val="en-GB"/>
        </w:rPr>
        <w:t>difference test</w:t>
      </w:r>
      <w:r>
        <w:rPr>
          <w:lang w:val="en-GB"/>
        </w:rPr>
        <w:t>.</w:t>
      </w:r>
    </w:p>
    <w:p w14:paraId="66A9E26C" w14:textId="56861681" w:rsidR="008B2783" w:rsidRPr="00065B92" w:rsidRDefault="008B2783" w:rsidP="00065B92">
      <w:pPr>
        <w:spacing w:line="480" w:lineRule="auto"/>
        <w:ind w:firstLine="720"/>
        <w:rPr>
          <w:color w:val="222222"/>
          <w:shd w:val="clear" w:color="auto" w:fill="FFFFFF"/>
          <w:lang w:val="en-GB"/>
        </w:rPr>
      </w:pPr>
      <w:r w:rsidRPr="000E7D68">
        <w:rPr>
          <w:lang w:val="en-GB"/>
        </w:rPr>
        <w:lastRenderedPageBreak/>
        <w:t>The differentiation of FFFS/fear and BIS/anxiety is a central conceptual intention of the rRST</w:t>
      </w:r>
      <w:r>
        <w:rPr>
          <w:lang w:val="en-GB"/>
        </w:rPr>
        <w:t xml:space="preserve"> and is operationalized in the conceptualization of the </w:t>
      </w:r>
      <w:r w:rsidRPr="000E7D68">
        <w:rPr>
          <w:lang w:val="en-GB"/>
        </w:rPr>
        <w:t>hypothesized</w:t>
      </w:r>
      <w:r>
        <w:rPr>
          <w:lang w:val="en-GB"/>
        </w:rPr>
        <w:t xml:space="preserve"> factor structure of the RST-PQ. </w:t>
      </w:r>
      <w:r w:rsidR="00D70012" w:rsidRPr="00D70012">
        <w:rPr>
          <w:color w:val="222222"/>
          <w:shd w:val="clear" w:color="auto" w:fill="FFFFFF"/>
          <w:lang w:val="en-GB"/>
        </w:rPr>
        <w:t>Therefor</w:t>
      </w:r>
      <w:r w:rsidR="00D70012">
        <w:rPr>
          <w:color w:val="222222"/>
          <w:shd w:val="clear" w:color="auto" w:fill="FFFFFF"/>
          <w:lang w:val="en-GB"/>
        </w:rPr>
        <w:t>e,</w:t>
      </w:r>
      <w:r w:rsidR="00D70012" w:rsidRPr="00D70012">
        <w:rPr>
          <w:color w:val="222222"/>
          <w:shd w:val="clear" w:color="auto" w:fill="FFFFFF"/>
          <w:lang w:val="en-GB"/>
        </w:rPr>
        <w:t xml:space="preserve"> we expect Model 1 (comprising two distinct factors, namely FFFS and BIS) to show an improved model fit compared to Model 2, a single-order model, in that the correlation between FFF</w:t>
      </w:r>
      <w:r w:rsidR="00D70012">
        <w:rPr>
          <w:color w:val="222222"/>
          <w:shd w:val="clear" w:color="auto" w:fill="FFFFFF"/>
          <w:lang w:val="en-GB"/>
        </w:rPr>
        <w:t>S and BIS is fixed to one, implying</w:t>
      </w:r>
      <w:r w:rsidR="00D70012" w:rsidRPr="00D70012">
        <w:rPr>
          <w:color w:val="222222"/>
          <w:shd w:val="clear" w:color="auto" w:fill="FFFFFF"/>
          <w:lang w:val="en-GB"/>
        </w:rPr>
        <w:t xml:space="preserve"> that FFF</w:t>
      </w:r>
      <w:r w:rsidR="00D70012">
        <w:rPr>
          <w:color w:val="222222"/>
          <w:shd w:val="clear" w:color="auto" w:fill="FFFFFF"/>
          <w:lang w:val="en-GB"/>
        </w:rPr>
        <w:t xml:space="preserve">S and BIS represent one factor. </w:t>
      </w:r>
      <w:r w:rsidRPr="000E7D68">
        <w:rPr>
          <w:color w:val="222222"/>
          <w:shd w:val="clear" w:color="auto" w:fill="FFFFFF"/>
          <w:lang w:val="en-GB"/>
        </w:rPr>
        <w:t xml:space="preserve">As expected, </w:t>
      </w:r>
      <w:r>
        <w:rPr>
          <w:lang w:val="en-GB"/>
        </w:rPr>
        <w:t>Model 2</w:t>
      </w:r>
      <w:r w:rsidRPr="000E7D68">
        <w:rPr>
          <w:lang w:val="en-GB"/>
        </w:rPr>
        <w:t xml:space="preserve"> showed signifi</w:t>
      </w:r>
      <w:r w:rsidR="00A5411F">
        <w:rPr>
          <w:lang w:val="en-GB"/>
        </w:rPr>
        <w:t>c</w:t>
      </w:r>
      <w:r w:rsidRPr="000E7D68">
        <w:rPr>
          <w:lang w:val="en-GB"/>
        </w:rPr>
        <w:t>ant</w:t>
      </w:r>
      <w:r w:rsidR="00481B24">
        <w:rPr>
          <w:lang w:val="en-GB"/>
        </w:rPr>
        <w:t>ly</w:t>
      </w:r>
      <w:r w:rsidRPr="000E7D68">
        <w:rPr>
          <w:lang w:val="en-GB"/>
        </w:rPr>
        <w:t xml:space="preserve"> poorer global model fit than </w:t>
      </w:r>
      <w:r>
        <w:rPr>
          <w:lang w:val="en-GB"/>
        </w:rPr>
        <w:t>Model 1</w:t>
      </w:r>
      <w:r w:rsidRPr="000E7D68">
        <w:rPr>
          <w:bCs/>
          <w:i/>
          <w:iCs/>
          <w:lang w:val="en-GB"/>
        </w:rPr>
        <w:t xml:space="preserve"> </w:t>
      </w:r>
      <w:r w:rsidRPr="000E7D68">
        <w:rPr>
          <w:bCs/>
          <w:i/>
          <w:iCs/>
          <w:lang w:val="en-GB"/>
        </w:rPr>
        <w:sym w:font="Symbol" w:char="F063"/>
      </w:r>
      <w:r w:rsidRPr="000E7D68">
        <w:rPr>
          <w:bCs/>
          <w:i/>
          <w:iCs/>
          <w:vertAlign w:val="superscript"/>
          <w:lang w:val="en-GB"/>
        </w:rPr>
        <w:t>2</w:t>
      </w:r>
      <w:r w:rsidR="00B14C63" w:rsidRPr="003475FE">
        <w:rPr>
          <w:bCs/>
          <w:i/>
          <w:iCs/>
          <w:vertAlign w:val="subscript"/>
          <w:lang w:val="en-GB"/>
        </w:rPr>
        <w:t xml:space="preserve">diff </w:t>
      </w:r>
      <w:r w:rsidRPr="000E7D68">
        <w:rPr>
          <w:bCs/>
          <w:iCs/>
          <w:lang w:val="en-GB"/>
        </w:rPr>
        <w:t xml:space="preserve">(1) = 165.774, </w:t>
      </w:r>
      <w:r w:rsidRPr="000E7D68">
        <w:rPr>
          <w:bCs/>
          <w:i/>
          <w:iCs/>
          <w:lang w:val="en-GB"/>
        </w:rPr>
        <w:t xml:space="preserve">p </w:t>
      </w:r>
      <w:r w:rsidRPr="000E7D68">
        <w:rPr>
          <w:bCs/>
          <w:iCs/>
          <w:lang w:val="en-GB"/>
        </w:rPr>
        <w:t xml:space="preserve">&lt; .0001. In accordance </w:t>
      </w:r>
      <w:r w:rsidR="00481B24">
        <w:rPr>
          <w:bCs/>
          <w:iCs/>
          <w:lang w:val="en-GB"/>
        </w:rPr>
        <w:t>with</w:t>
      </w:r>
      <w:r w:rsidR="00481B24" w:rsidRPr="000E7D68">
        <w:rPr>
          <w:bCs/>
          <w:iCs/>
          <w:lang w:val="en-GB"/>
        </w:rPr>
        <w:t xml:space="preserve"> </w:t>
      </w:r>
      <w:r w:rsidRPr="000E7D68">
        <w:rPr>
          <w:bCs/>
          <w:iCs/>
          <w:lang w:val="en-GB"/>
        </w:rPr>
        <w:t>Corr and Cooper (2016)</w:t>
      </w:r>
      <w:r w:rsidR="00A5411F">
        <w:rPr>
          <w:bCs/>
          <w:iCs/>
          <w:lang w:val="en-GB"/>
        </w:rPr>
        <w:t>,</w:t>
      </w:r>
      <w:r w:rsidRPr="000E7D68">
        <w:rPr>
          <w:bCs/>
          <w:iCs/>
          <w:lang w:val="en-GB"/>
        </w:rPr>
        <w:t xml:space="preserve"> we believe FFFS and BIS can conceptually and operationally be separated</w:t>
      </w:r>
      <w:r>
        <w:rPr>
          <w:bCs/>
          <w:iCs/>
          <w:lang w:val="en-GB"/>
        </w:rPr>
        <w:t>,</w:t>
      </w:r>
      <w:r w:rsidR="00CB7831">
        <w:rPr>
          <w:bCs/>
          <w:iCs/>
          <w:lang w:val="en-GB"/>
        </w:rPr>
        <w:t xml:space="preserve"> but </w:t>
      </w:r>
      <w:r w:rsidRPr="000E7D68">
        <w:rPr>
          <w:bCs/>
          <w:iCs/>
          <w:lang w:val="en-GB"/>
        </w:rPr>
        <w:t>it is unrealistic to assume that FFFS-fear and BIS-anxiety processes are completely uncorrelated</w:t>
      </w:r>
      <w:r w:rsidR="00A5411F">
        <w:rPr>
          <w:bCs/>
          <w:iCs/>
          <w:lang w:val="en-GB"/>
        </w:rPr>
        <w:t xml:space="preserve"> – indeed, rRST does not posit this (Corr, 2016)</w:t>
      </w:r>
      <w:r w:rsidRPr="000E7D68">
        <w:rPr>
          <w:bCs/>
          <w:iCs/>
          <w:lang w:val="en-GB"/>
        </w:rPr>
        <w:t>.</w:t>
      </w:r>
      <w:r w:rsidRPr="000E7D68">
        <w:rPr>
          <w:color w:val="222222"/>
          <w:shd w:val="clear" w:color="auto" w:fill="FFFFFF"/>
          <w:lang w:val="en-GB"/>
        </w:rPr>
        <w:t xml:space="preserve"> </w:t>
      </w:r>
      <w:r>
        <w:rPr>
          <w:color w:val="222222"/>
          <w:shd w:val="clear" w:color="auto" w:fill="FFFFFF"/>
          <w:lang w:val="en-GB"/>
        </w:rPr>
        <w:t>Hence</w:t>
      </w:r>
      <w:r w:rsidR="003475FE">
        <w:rPr>
          <w:color w:val="222222"/>
          <w:shd w:val="clear" w:color="auto" w:fill="FFFFFF"/>
          <w:lang w:val="en-GB"/>
        </w:rPr>
        <w:t>,</w:t>
      </w:r>
      <w:r>
        <w:rPr>
          <w:color w:val="222222"/>
          <w:shd w:val="clear" w:color="auto" w:fill="FFFFFF"/>
          <w:lang w:val="en-GB"/>
        </w:rPr>
        <w:t xml:space="preserve"> </w:t>
      </w:r>
      <w:r w:rsidRPr="000E7D68">
        <w:rPr>
          <w:color w:val="222222"/>
          <w:shd w:val="clear" w:color="auto" w:fill="FFFFFF"/>
          <w:lang w:val="en-GB"/>
        </w:rPr>
        <w:t xml:space="preserve">we expect </w:t>
      </w:r>
      <w:r>
        <w:rPr>
          <w:color w:val="222222"/>
          <w:shd w:val="clear" w:color="auto" w:fill="FFFFFF"/>
          <w:lang w:val="en-GB"/>
        </w:rPr>
        <w:t>Model 1</w:t>
      </w:r>
      <w:r w:rsidRPr="000E7D68">
        <w:rPr>
          <w:color w:val="222222"/>
          <w:shd w:val="clear" w:color="auto" w:fill="FFFFFF"/>
          <w:lang w:val="en-GB"/>
        </w:rPr>
        <w:t xml:space="preserve"> should</w:t>
      </w:r>
      <w:r>
        <w:rPr>
          <w:color w:val="222222"/>
          <w:shd w:val="clear" w:color="auto" w:fill="FFFFFF"/>
          <w:lang w:val="en-GB"/>
        </w:rPr>
        <w:t xml:space="preserve"> show</w:t>
      </w:r>
      <w:r w:rsidRPr="000E7D68">
        <w:rPr>
          <w:color w:val="222222"/>
          <w:shd w:val="clear" w:color="auto" w:fill="FFFFFF"/>
          <w:lang w:val="en-GB"/>
        </w:rPr>
        <w:t xml:space="preserve"> better </w:t>
      </w:r>
      <w:r>
        <w:rPr>
          <w:color w:val="222222"/>
          <w:shd w:val="clear" w:color="auto" w:fill="FFFFFF"/>
          <w:lang w:val="en-GB"/>
        </w:rPr>
        <w:t xml:space="preserve">model </w:t>
      </w:r>
      <w:r w:rsidRPr="000E7D68">
        <w:rPr>
          <w:color w:val="222222"/>
          <w:shd w:val="clear" w:color="auto" w:fill="FFFFFF"/>
          <w:lang w:val="en-GB"/>
        </w:rPr>
        <w:t xml:space="preserve">fit than </w:t>
      </w:r>
      <w:r w:rsidR="00707161">
        <w:rPr>
          <w:color w:val="222222"/>
          <w:shd w:val="clear" w:color="auto" w:fill="FFFFFF"/>
          <w:lang w:val="en-GB"/>
        </w:rPr>
        <w:t xml:space="preserve">Model 3, </w:t>
      </w:r>
      <w:r w:rsidRPr="000E7D68">
        <w:rPr>
          <w:color w:val="222222"/>
          <w:shd w:val="clear" w:color="auto" w:fill="FFFFFF"/>
          <w:lang w:val="en-GB"/>
        </w:rPr>
        <w:t xml:space="preserve">a </w:t>
      </w:r>
      <w:r>
        <w:rPr>
          <w:color w:val="222222"/>
          <w:shd w:val="clear" w:color="auto" w:fill="FFFFFF"/>
          <w:lang w:val="en-GB"/>
        </w:rPr>
        <w:t xml:space="preserve">single-order </w:t>
      </w:r>
      <w:r w:rsidRPr="000E7D68">
        <w:rPr>
          <w:color w:val="222222"/>
          <w:shd w:val="clear" w:color="auto" w:fill="FFFFFF"/>
          <w:lang w:val="en-GB"/>
        </w:rPr>
        <w:t>model</w:t>
      </w:r>
      <w:r>
        <w:rPr>
          <w:color w:val="222222"/>
          <w:shd w:val="clear" w:color="auto" w:fill="FFFFFF"/>
          <w:lang w:val="en-GB"/>
        </w:rPr>
        <w:t>,</w:t>
      </w:r>
      <w:r w:rsidRPr="000E7D68">
        <w:rPr>
          <w:color w:val="222222"/>
          <w:shd w:val="clear" w:color="auto" w:fill="FFFFFF"/>
          <w:lang w:val="en-GB"/>
        </w:rPr>
        <w:t xml:space="preserve"> where the correlation between FFFS and BIS were fixed to 0. </w:t>
      </w:r>
      <w:r>
        <w:rPr>
          <w:lang w:val="en-GB"/>
        </w:rPr>
        <w:t>As expected, t</w:t>
      </w:r>
      <w:r w:rsidR="00D70012">
        <w:rPr>
          <w:lang w:val="en-GB"/>
        </w:rPr>
        <w:t>his model showed signific</w:t>
      </w:r>
      <w:r w:rsidRPr="000E7D68">
        <w:rPr>
          <w:lang w:val="en-GB"/>
        </w:rPr>
        <w:t xml:space="preserve">ant poorer global model fit than </w:t>
      </w:r>
      <w:r>
        <w:rPr>
          <w:lang w:val="en-GB"/>
        </w:rPr>
        <w:t>Model 1</w:t>
      </w:r>
      <w:r w:rsidRPr="000E7D68">
        <w:rPr>
          <w:bCs/>
          <w:i/>
          <w:iCs/>
          <w:lang w:val="en-GB"/>
        </w:rPr>
        <w:t xml:space="preserve"> </w:t>
      </w:r>
      <w:r w:rsidRPr="000E7D68">
        <w:rPr>
          <w:bCs/>
          <w:i/>
          <w:iCs/>
          <w:lang w:val="en-GB"/>
        </w:rPr>
        <w:sym w:font="Symbol" w:char="F063"/>
      </w:r>
      <w:r w:rsidRPr="000E7D68">
        <w:rPr>
          <w:bCs/>
          <w:i/>
          <w:iCs/>
          <w:vertAlign w:val="superscript"/>
          <w:lang w:val="en-GB"/>
        </w:rPr>
        <w:t>2</w:t>
      </w:r>
      <w:r w:rsidR="003475FE" w:rsidRPr="003475FE">
        <w:rPr>
          <w:bCs/>
          <w:i/>
          <w:iCs/>
          <w:vertAlign w:val="subscript"/>
          <w:lang w:val="en-GB"/>
        </w:rPr>
        <w:t>diff</w:t>
      </w:r>
      <w:r>
        <w:rPr>
          <w:bCs/>
          <w:iCs/>
          <w:lang w:val="en-GB"/>
        </w:rPr>
        <w:t xml:space="preserve"> (1) = 136.577</w:t>
      </w:r>
      <w:r w:rsidRPr="000E7D68">
        <w:rPr>
          <w:bCs/>
          <w:iCs/>
          <w:lang w:val="en-GB"/>
        </w:rPr>
        <w:t xml:space="preserve">, </w:t>
      </w:r>
      <w:r w:rsidRPr="000E7D68">
        <w:rPr>
          <w:bCs/>
          <w:i/>
          <w:iCs/>
          <w:lang w:val="en-GB"/>
        </w:rPr>
        <w:t xml:space="preserve">p </w:t>
      </w:r>
      <w:r w:rsidRPr="000E7D68">
        <w:rPr>
          <w:bCs/>
          <w:iCs/>
          <w:lang w:val="en-GB"/>
        </w:rPr>
        <w:t>&lt; .0001.</w:t>
      </w:r>
    </w:p>
    <w:p w14:paraId="66A9E26D" w14:textId="1013A8D5" w:rsidR="008B2783" w:rsidRDefault="008B2783" w:rsidP="00065B92">
      <w:pPr>
        <w:spacing w:line="480" w:lineRule="auto"/>
        <w:ind w:firstLine="720"/>
        <w:rPr>
          <w:bCs/>
          <w:iCs/>
          <w:lang w:val="en-GB"/>
        </w:rPr>
      </w:pPr>
      <w:r>
        <w:rPr>
          <w:lang w:val="en-GB"/>
        </w:rPr>
        <w:t xml:space="preserve">The </w:t>
      </w:r>
      <w:r w:rsidRPr="000E7D68">
        <w:rPr>
          <w:lang w:val="en-GB"/>
        </w:rPr>
        <w:t xml:space="preserve">fourth model </w:t>
      </w:r>
      <w:r w:rsidR="00481B24">
        <w:rPr>
          <w:lang w:val="en-GB"/>
        </w:rPr>
        <w:t xml:space="preserve">investigated </w:t>
      </w:r>
      <w:r>
        <w:rPr>
          <w:lang w:val="en-GB"/>
        </w:rPr>
        <w:t>in this study</w:t>
      </w:r>
      <w:r w:rsidRPr="000E7D68">
        <w:rPr>
          <w:lang w:val="en-GB"/>
        </w:rPr>
        <w:t xml:space="preserve"> </w:t>
      </w:r>
      <w:r w:rsidR="00481B24" w:rsidRPr="000E7D68">
        <w:rPr>
          <w:lang w:val="en-GB"/>
        </w:rPr>
        <w:t>consider</w:t>
      </w:r>
      <w:r w:rsidR="00481B24">
        <w:rPr>
          <w:lang w:val="en-GB"/>
        </w:rPr>
        <w:t>ed</w:t>
      </w:r>
      <w:r w:rsidR="00481B24" w:rsidRPr="000E7D68">
        <w:rPr>
          <w:lang w:val="en-GB"/>
        </w:rPr>
        <w:t xml:space="preserve"> </w:t>
      </w:r>
      <w:r w:rsidRPr="000E7D68">
        <w:rPr>
          <w:lang w:val="en-GB"/>
        </w:rPr>
        <w:t xml:space="preserve">the hierarchical structure of the RST-PQ, namely that the four BAS factors load on a higher order “reward sensitivity” factor </w:t>
      </w:r>
      <w:r>
        <w:rPr>
          <w:lang w:val="en-GB"/>
        </w:rPr>
        <w:t>while FFFS and BIS were</w:t>
      </w:r>
      <w:r w:rsidRPr="000E7D68">
        <w:rPr>
          <w:lang w:val="en-GB"/>
        </w:rPr>
        <w:t xml:space="preserve"> conceptualized as </w:t>
      </w:r>
      <w:r>
        <w:rPr>
          <w:lang w:val="en-GB"/>
        </w:rPr>
        <w:t>in Model 1</w:t>
      </w:r>
      <w:r w:rsidRPr="000E7D68">
        <w:rPr>
          <w:lang w:val="en-GB"/>
        </w:rPr>
        <w:t>. Model 4</w:t>
      </w:r>
      <w:r>
        <w:rPr>
          <w:lang w:val="en-GB"/>
        </w:rPr>
        <w:t xml:space="preserve"> also</w:t>
      </w:r>
      <w:r w:rsidRPr="000E7D68">
        <w:rPr>
          <w:lang w:val="en-GB"/>
        </w:rPr>
        <w:t xml:space="preserve"> showed signifi</w:t>
      </w:r>
      <w:r w:rsidR="00A5411F">
        <w:rPr>
          <w:lang w:val="en-GB"/>
        </w:rPr>
        <w:t>c</w:t>
      </w:r>
      <w:r w:rsidRPr="000E7D68">
        <w:rPr>
          <w:lang w:val="en-GB"/>
        </w:rPr>
        <w:t>ant</w:t>
      </w:r>
      <w:r w:rsidR="00481B24">
        <w:rPr>
          <w:lang w:val="en-GB"/>
        </w:rPr>
        <w:t>ly</w:t>
      </w:r>
      <w:r w:rsidRPr="000E7D68">
        <w:rPr>
          <w:lang w:val="en-GB"/>
        </w:rPr>
        <w:t xml:space="preserve"> poorer global model fit than </w:t>
      </w:r>
      <w:r>
        <w:rPr>
          <w:lang w:val="en-GB"/>
        </w:rPr>
        <w:t>Model 1</w:t>
      </w:r>
      <w:r w:rsidRPr="000E7D68">
        <w:rPr>
          <w:bCs/>
          <w:i/>
          <w:iCs/>
          <w:lang w:val="en-GB"/>
        </w:rPr>
        <w:t xml:space="preserve"> </w:t>
      </w:r>
      <w:r w:rsidRPr="000E7D68">
        <w:rPr>
          <w:bCs/>
          <w:i/>
          <w:iCs/>
          <w:lang w:val="en-GB"/>
        </w:rPr>
        <w:sym w:font="Symbol" w:char="F063"/>
      </w:r>
      <w:r w:rsidRPr="000E7D68">
        <w:rPr>
          <w:bCs/>
          <w:i/>
          <w:iCs/>
          <w:vertAlign w:val="superscript"/>
          <w:lang w:val="en-GB"/>
        </w:rPr>
        <w:t>2</w:t>
      </w:r>
      <w:r w:rsidR="003475FE" w:rsidRPr="003475FE">
        <w:rPr>
          <w:bCs/>
          <w:i/>
          <w:iCs/>
          <w:vertAlign w:val="subscript"/>
          <w:lang w:val="en-GB"/>
        </w:rPr>
        <w:t>diff</w:t>
      </w:r>
      <w:r w:rsidRPr="000E7D68">
        <w:rPr>
          <w:bCs/>
          <w:iCs/>
          <w:lang w:val="en-GB"/>
        </w:rPr>
        <w:t xml:space="preserve"> (2) = 76.86, </w:t>
      </w:r>
      <w:r w:rsidRPr="000E7D68">
        <w:rPr>
          <w:bCs/>
          <w:i/>
          <w:iCs/>
          <w:lang w:val="en-GB"/>
        </w:rPr>
        <w:t xml:space="preserve">p </w:t>
      </w:r>
      <w:r w:rsidRPr="000E7D68">
        <w:rPr>
          <w:bCs/>
          <w:iCs/>
          <w:lang w:val="en-GB"/>
        </w:rPr>
        <w:t>&lt; .0001.</w:t>
      </w:r>
    </w:p>
    <w:p w14:paraId="66A9E26E" w14:textId="77777777" w:rsidR="004C6125" w:rsidRPr="004C6125" w:rsidRDefault="004C6125" w:rsidP="004C6125">
      <w:pPr>
        <w:spacing w:line="480" w:lineRule="auto"/>
        <w:ind w:firstLine="720"/>
        <w:rPr>
          <w:lang w:val="en-GB"/>
        </w:rPr>
      </w:pPr>
      <w:r w:rsidRPr="000E7D68">
        <w:rPr>
          <w:lang w:val="en-GB"/>
        </w:rPr>
        <w:t>A</w:t>
      </w:r>
      <w:r>
        <w:rPr>
          <w:lang w:val="en-GB"/>
        </w:rPr>
        <w:t xml:space="preserve">ll CFA </w:t>
      </w:r>
      <w:r w:rsidRPr="000E7D68">
        <w:rPr>
          <w:lang w:val="en-GB"/>
        </w:rPr>
        <w:t xml:space="preserve">models were tested in terms of MIMIC models (Muthén, 1989) to investigate the measurement </w:t>
      </w:r>
      <w:r>
        <w:rPr>
          <w:lang w:val="en-GB"/>
        </w:rPr>
        <w:t xml:space="preserve">invariance </w:t>
      </w:r>
      <w:r w:rsidRPr="000E7D68">
        <w:rPr>
          <w:lang w:val="en-GB"/>
        </w:rPr>
        <w:t>across gender and age.</w:t>
      </w:r>
      <w:r>
        <w:rPr>
          <w:lang w:val="en-GB"/>
        </w:rPr>
        <w:t xml:space="preserve"> M</w:t>
      </w:r>
      <w:r w:rsidRPr="005E5FD9">
        <w:rPr>
          <w:lang w:val="en-GB"/>
        </w:rPr>
        <w:t xml:space="preserve">easurement </w:t>
      </w:r>
      <w:r>
        <w:rPr>
          <w:lang w:val="en-GB"/>
        </w:rPr>
        <w:t>invariance was observed for the investigated variables a</w:t>
      </w:r>
      <w:r w:rsidRPr="005E5FD9">
        <w:rPr>
          <w:lang w:val="en-GB"/>
        </w:rPr>
        <w:t>cross all model</w:t>
      </w:r>
      <w:r>
        <w:rPr>
          <w:lang w:val="en-GB"/>
        </w:rPr>
        <w:t xml:space="preserve">s. </w:t>
      </w:r>
      <w:r w:rsidRPr="00EE08CA">
        <w:rPr>
          <w:lang w:val="en-GB"/>
        </w:rPr>
        <w:t xml:space="preserve">Model fit indices of all tested models </w:t>
      </w:r>
      <w:r>
        <w:rPr>
          <w:lang w:val="en-GB"/>
        </w:rPr>
        <w:t>are reported in Table 5.</w:t>
      </w:r>
    </w:p>
    <w:p w14:paraId="66A9E26F" w14:textId="42FDE1D3" w:rsidR="006D609F" w:rsidRPr="00262711" w:rsidRDefault="006D609F" w:rsidP="00BA50D8">
      <w:pPr>
        <w:spacing w:line="480" w:lineRule="auto"/>
        <w:ind w:firstLine="720"/>
        <w:rPr>
          <w:b/>
          <w:lang w:val="en-GB"/>
        </w:rPr>
      </w:pPr>
      <w:r w:rsidRPr="00262711">
        <w:rPr>
          <w:lang w:val="en-GB"/>
        </w:rPr>
        <w:t xml:space="preserve">Table 3 </w:t>
      </w:r>
      <w:r w:rsidR="00D00618" w:rsidRPr="00262711">
        <w:rPr>
          <w:lang w:val="en-GB"/>
        </w:rPr>
        <w:t xml:space="preserve">shows </w:t>
      </w:r>
      <w:r w:rsidRPr="00262711">
        <w:rPr>
          <w:lang w:val="en-GB"/>
        </w:rPr>
        <w:t>the descriptive statistics</w:t>
      </w:r>
      <w:r w:rsidR="008B68B2">
        <w:rPr>
          <w:lang w:val="en-GB"/>
        </w:rPr>
        <w:t>, Cronbach’s alpha</w:t>
      </w:r>
      <w:r w:rsidRPr="00262711">
        <w:rPr>
          <w:lang w:val="en-GB"/>
        </w:rPr>
        <w:t xml:space="preserve"> </w:t>
      </w:r>
      <w:r w:rsidR="008B68B2">
        <w:rPr>
          <w:lang w:val="en-GB"/>
        </w:rPr>
        <w:t xml:space="preserve">values </w:t>
      </w:r>
      <w:r w:rsidRPr="00262711">
        <w:rPr>
          <w:lang w:val="en-GB"/>
        </w:rPr>
        <w:t xml:space="preserve">and correlations for the RST-PQ scales. The BAS factors had moderately large positive correlations with each other, with the exception of the correlation between Goal Drive-Persistence and Impulsivity, which was close to 0. The BIS and FFFS factors were significantly positively correlated. </w:t>
      </w:r>
      <w:r w:rsidR="00D00618" w:rsidRPr="00262711">
        <w:rPr>
          <w:lang w:val="en-GB"/>
        </w:rPr>
        <w:t>The four BAS factors</w:t>
      </w:r>
      <w:r w:rsidR="001F0839" w:rsidRPr="00262711">
        <w:rPr>
          <w:lang w:val="en-GB"/>
        </w:rPr>
        <w:t xml:space="preserve"> generally</w:t>
      </w:r>
      <w:r w:rsidR="00D00618" w:rsidRPr="00262711">
        <w:rPr>
          <w:lang w:val="en-GB"/>
        </w:rPr>
        <w:t xml:space="preserve"> </w:t>
      </w:r>
      <w:r w:rsidR="00D00618" w:rsidRPr="00262711">
        <w:rPr>
          <w:lang w:val="en-GB" w:eastAsia="en-GB"/>
        </w:rPr>
        <w:t xml:space="preserve">had </w:t>
      </w:r>
      <w:r w:rsidR="001F0839" w:rsidRPr="00262711">
        <w:rPr>
          <w:lang w:val="en-GB" w:eastAsia="en-GB"/>
        </w:rPr>
        <w:t xml:space="preserve">low </w:t>
      </w:r>
      <w:r w:rsidR="00D00618" w:rsidRPr="00262711">
        <w:rPr>
          <w:lang w:val="en-GB" w:eastAsia="en-GB"/>
        </w:rPr>
        <w:t>correlations</w:t>
      </w:r>
      <w:r w:rsidR="00D00618" w:rsidRPr="00262711">
        <w:rPr>
          <w:lang w:val="en-GB"/>
        </w:rPr>
        <w:t xml:space="preserve"> with the FFFS and BIS.</w:t>
      </w:r>
      <w:r w:rsidR="00A616B5">
        <w:rPr>
          <w:lang w:val="en-GB"/>
        </w:rPr>
        <w:t xml:space="preserve"> </w:t>
      </w:r>
    </w:p>
    <w:p w14:paraId="66A9E270" w14:textId="77777777" w:rsidR="006D609F" w:rsidRPr="00262711" w:rsidRDefault="009C3BC3" w:rsidP="006D609F">
      <w:pPr>
        <w:spacing w:line="480" w:lineRule="auto"/>
        <w:rPr>
          <w:b/>
          <w:lang w:val="en-GB"/>
        </w:rPr>
      </w:pPr>
      <w:r w:rsidRPr="00262711">
        <w:rPr>
          <w:b/>
          <w:lang w:val="en-GB"/>
        </w:rPr>
        <w:lastRenderedPageBreak/>
        <w:t xml:space="preserve">Correlations </w:t>
      </w:r>
      <w:r w:rsidR="00BC73D9" w:rsidRPr="00262711">
        <w:rPr>
          <w:b/>
          <w:lang w:val="en-GB"/>
        </w:rPr>
        <w:t>w</w:t>
      </w:r>
      <w:r w:rsidR="00D929FA" w:rsidRPr="00262711">
        <w:rPr>
          <w:b/>
          <w:lang w:val="en-GB"/>
        </w:rPr>
        <w:t>ith Other Personality Measures</w:t>
      </w:r>
    </w:p>
    <w:p w14:paraId="66A9E271" w14:textId="3BB2AA09" w:rsidR="006D609F" w:rsidRPr="00262711" w:rsidRDefault="00F31BB1" w:rsidP="00E758EB">
      <w:pPr>
        <w:spacing w:line="480" w:lineRule="auto"/>
        <w:ind w:firstLine="720"/>
        <w:rPr>
          <w:lang w:val="en-GB"/>
        </w:rPr>
      </w:pPr>
      <w:r w:rsidRPr="00262711">
        <w:rPr>
          <w:lang w:val="en-GB"/>
        </w:rPr>
        <w:t>Table 4 show</w:t>
      </w:r>
      <w:r w:rsidR="008433C3">
        <w:rPr>
          <w:lang w:val="en-GB"/>
        </w:rPr>
        <w:t>s</w:t>
      </w:r>
      <w:r w:rsidRPr="00262711">
        <w:rPr>
          <w:lang w:val="en-GB"/>
        </w:rPr>
        <w:t xml:space="preserve"> the intercorrelations of the </w:t>
      </w:r>
      <w:r w:rsidR="00880C77" w:rsidRPr="00262711">
        <w:rPr>
          <w:lang w:val="en-GB"/>
        </w:rPr>
        <w:t xml:space="preserve">sum scores of </w:t>
      </w:r>
      <w:r w:rsidRPr="00262711">
        <w:rPr>
          <w:lang w:val="en-GB"/>
        </w:rPr>
        <w:t xml:space="preserve">RST-PQ </w:t>
      </w:r>
      <w:r w:rsidR="00880C77" w:rsidRPr="00262711">
        <w:rPr>
          <w:lang w:val="en-GB"/>
        </w:rPr>
        <w:t xml:space="preserve">factors </w:t>
      </w:r>
      <w:r w:rsidR="007A26CD">
        <w:rPr>
          <w:lang w:val="en-GB"/>
        </w:rPr>
        <w:t>with other well-</w:t>
      </w:r>
      <w:r w:rsidRPr="00262711">
        <w:rPr>
          <w:lang w:val="en-GB"/>
        </w:rPr>
        <w:t>established personality measures.</w:t>
      </w:r>
      <w:r w:rsidR="00E758EB" w:rsidRPr="00262711">
        <w:rPr>
          <w:lang w:val="en-GB"/>
        </w:rPr>
        <w:t xml:space="preserve"> </w:t>
      </w:r>
      <w:r w:rsidR="00BF4BE2" w:rsidRPr="00262711">
        <w:rPr>
          <w:lang w:val="en-GB"/>
        </w:rPr>
        <w:t>For the</w:t>
      </w:r>
      <w:r w:rsidR="00C83CD9" w:rsidRPr="00262711">
        <w:rPr>
          <w:lang w:val="en-GB"/>
        </w:rPr>
        <w:t xml:space="preserve"> RST-PQ</w:t>
      </w:r>
      <w:r w:rsidR="00BF4BE2" w:rsidRPr="00262711">
        <w:rPr>
          <w:lang w:val="en-GB"/>
        </w:rPr>
        <w:t xml:space="preserve"> BIS factor, </w:t>
      </w:r>
      <w:r w:rsidR="006635BA" w:rsidRPr="00262711">
        <w:rPr>
          <w:lang w:val="en-GB"/>
        </w:rPr>
        <w:t xml:space="preserve">there are large </w:t>
      </w:r>
      <w:r w:rsidR="00BF4BE2" w:rsidRPr="00262711">
        <w:rPr>
          <w:lang w:val="en-GB"/>
        </w:rPr>
        <w:t xml:space="preserve">significant positive correlations with the </w:t>
      </w:r>
      <w:r w:rsidR="004C6116">
        <w:rPr>
          <w:lang w:val="en-GB"/>
        </w:rPr>
        <w:t>N</w:t>
      </w:r>
      <w:r w:rsidR="00BF4BE2" w:rsidRPr="00262711">
        <w:rPr>
          <w:lang w:val="en-GB"/>
        </w:rPr>
        <w:t>euroticism scale of the NEO-FFI and the Trait Anxiety scale</w:t>
      </w:r>
      <w:r w:rsidR="006635BA" w:rsidRPr="00262711">
        <w:rPr>
          <w:lang w:val="en-GB"/>
        </w:rPr>
        <w:t>, and moderate positive correlations with the FSS sub-scales, particularly the Social Fear scale</w:t>
      </w:r>
      <w:r w:rsidR="00BF4BE2" w:rsidRPr="00262711">
        <w:rPr>
          <w:lang w:val="en-GB"/>
        </w:rPr>
        <w:t xml:space="preserve">. </w:t>
      </w:r>
      <w:r w:rsidR="006635BA" w:rsidRPr="00262711">
        <w:rPr>
          <w:lang w:val="en-GB"/>
        </w:rPr>
        <w:t>T</w:t>
      </w:r>
      <w:r w:rsidR="00BF4BE2" w:rsidRPr="00262711">
        <w:rPr>
          <w:lang w:val="en-GB"/>
        </w:rPr>
        <w:t>he RST-PQ FFFS factor show</w:t>
      </w:r>
      <w:r w:rsidR="00BC73D9" w:rsidRPr="00262711">
        <w:rPr>
          <w:lang w:val="en-GB"/>
        </w:rPr>
        <w:t>ed</w:t>
      </w:r>
      <w:r w:rsidR="00BF4BE2" w:rsidRPr="00262711">
        <w:rPr>
          <w:lang w:val="en-GB"/>
        </w:rPr>
        <w:t xml:space="preserve"> </w:t>
      </w:r>
      <w:r w:rsidR="006635BA" w:rsidRPr="00262711">
        <w:rPr>
          <w:lang w:val="en-GB"/>
        </w:rPr>
        <w:t xml:space="preserve">moderately strong positive correlations with the FSS scales and </w:t>
      </w:r>
      <w:r w:rsidR="00F67EDD" w:rsidRPr="00262711">
        <w:rPr>
          <w:lang w:val="en-GB"/>
        </w:rPr>
        <w:t xml:space="preserve">NEO-FFI </w:t>
      </w:r>
      <w:r w:rsidR="004C6116">
        <w:rPr>
          <w:lang w:val="en-GB"/>
        </w:rPr>
        <w:t>N</w:t>
      </w:r>
      <w:r w:rsidR="00F67EDD" w:rsidRPr="00262711">
        <w:rPr>
          <w:lang w:val="en-GB"/>
        </w:rPr>
        <w:t>euroticism</w:t>
      </w:r>
      <w:r w:rsidR="006D609F" w:rsidRPr="00262711">
        <w:rPr>
          <w:lang w:val="en-GB"/>
        </w:rPr>
        <w:t xml:space="preserve"> but</w:t>
      </w:r>
      <w:r w:rsidR="006635BA" w:rsidRPr="00262711">
        <w:rPr>
          <w:lang w:val="en-GB"/>
        </w:rPr>
        <w:t xml:space="preserve"> </w:t>
      </w:r>
      <w:r w:rsidR="006D609F" w:rsidRPr="00262711">
        <w:rPr>
          <w:lang w:val="en-GB"/>
        </w:rPr>
        <w:t xml:space="preserve">is only weakly </w:t>
      </w:r>
      <w:r w:rsidR="006635BA" w:rsidRPr="00262711">
        <w:rPr>
          <w:lang w:val="en-GB"/>
        </w:rPr>
        <w:t xml:space="preserve">positively </w:t>
      </w:r>
      <w:r w:rsidR="006D609F" w:rsidRPr="00262711">
        <w:rPr>
          <w:lang w:val="en-GB"/>
        </w:rPr>
        <w:t xml:space="preserve">correlated with STAI anxiety. </w:t>
      </w:r>
      <w:r w:rsidR="00BC73D9" w:rsidRPr="00262711">
        <w:rPr>
          <w:lang w:val="en-GB"/>
        </w:rPr>
        <w:t xml:space="preserve">These associations are as expected </w:t>
      </w:r>
      <w:r w:rsidR="00B033AA">
        <w:rPr>
          <w:lang w:val="en-GB"/>
        </w:rPr>
        <w:t>from</w:t>
      </w:r>
      <w:r w:rsidR="00B033AA" w:rsidRPr="00262711">
        <w:rPr>
          <w:lang w:val="en-GB"/>
        </w:rPr>
        <w:t xml:space="preserve"> </w:t>
      </w:r>
      <w:r w:rsidR="00BC73D9" w:rsidRPr="00262711">
        <w:rPr>
          <w:lang w:val="en-GB"/>
        </w:rPr>
        <w:t>rRST and are consistent with the findings of the English version RST-PQ.</w:t>
      </w:r>
    </w:p>
    <w:p w14:paraId="66A9E272" w14:textId="77777777" w:rsidR="006D609F" w:rsidRPr="00262711" w:rsidRDefault="006D609F" w:rsidP="006D609F">
      <w:pPr>
        <w:tabs>
          <w:tab w:val="left" w:pos="795"/>
        </w:tabs>
        <w:spacing w:line="480" w:lineRule="auto"/>
        <w:rPr>
          <w:b/>
          <w:bCs/>
          <w:color w:val="000000" w:themeColor="text1"/>
          <w:lang w:val="en-GB"/>
        </w:rPr>
      </w:pPr>
      <w:r w:rsidRPr="00262711">
        <w:rPr>
          <w:lang w:val="en-GB"/>
        </w:rPr>
        <w:tab/>
      </w:r>
      <w:r w:rsidR="00D23873" w:rsidRPr="00262711">
        <w:rPr>
          <w:lang w:val="en-GB"/>
        </w:rPr>
        <w:t>A</w:t>
      </w:r>
      <w:r w:rsidRPr="00262711">
        <w:rPr>
          <w:lang w:val="en-GB"/>
        </w:rPr>
        <w:t xml:space="preserve">ll </w:t>
      </w:r>
      <w:r w:rsidR="00D23873" w:rsidRPr="00262711">
        <w:rPr>
          <w:lang w:val="en-GB"/>
        </w:rPr>
        <w:t xml:space="preserve">of the RST-PQ BAS scales </w:t>
      </w:r>
      <w:r w:rsidRPr="00262711">
        <w:rPr>
          <w:lang w:val="en-GB"/>
        </w:rPr>
        <w:t>positively correlate</w:t>
      </w:r>
      <w:r w:rsidR="00BC73D9" w:rsidRPr="00262711">
        <w:rPr>
          <w:lang w:val="en-GB"/>
        </w:rPr>
        <w:t>d</w:t>
      </w:r>
      <w:r w:rsidRPr="00262711">
        <w:rPr>
          <w:lang w:val="en-GB"/>
        </w:rPr>
        <w:t xml:space="preserve"> with NEO-FFI Extraversion.</w:t>
      </w:r>
      <w:r w:rsidR="00AA5C25">
        <w:rPr>
          <w:lang w:val="en-GB"/>
        </w:rPr>
        <w:t xml:space="preserve"> </w:t>
      </w:r>
      <w:r w:rsidR="00E2350E" w:rsidRPr="00262711">
        <w:rPr>
          <w:lang w:val="en-GB"/>
        </w:rPr>
        <w:t xml:space="preserve">Reward Interest </w:t>
      </w:r>
      <w:r w:rsidR="00AA5C25">
        <w:rPr>
          <w:lang w:val="en-GB"/>
        </w:rPr>
        <w:t xml:space="preserve">is </w:t>
      </w:r>
      <w:r w:rsidR="00E2350E" w:rsidRPr="00262711">
        <w:rPr>
          <w:lang w:val="en-GB"/>
        </w:rPr>
        <w:t>negatively</w:t>
      </w:r>
      <w:r w:rsidR="00AA5C25">
        <w:rPr>
          <w:lang w:val="en-GB"/>
        </w:rPr>
        <w:t xml:space="preserve"> correlated</w:t>
      </w:r>
      <w:r w:rsidR="00E2350E" w:rsidRPr="00262711">
        <w:rPr>
          <w:lang w:val="en-GB"/>
        </w:rPr>
        <w:t xml:space="preserve"> with </w:t>
      </w:r>
      <w:r w:rsidR="009746E1" w:rsidRPr="00262711">
        <w:rPr>
          <w:lang w:val="en-GB"/>
        </w:rPr>
        <w:t>NEO-FFI</w:t>
      </w:r>
      <w:r w:rsidR="00E2350E" w:rsidRPr="00262711">
        <w:rPr>
          <w:lang w:val="en-GB"/>
        </w:rPr>
        <w:t xml:space="preserve"> Neuroti</w:t>
      </w:r>
      <w:r w:rsidR="009746E1" w:rsidRPr="00262711">
        <w:rPr>
          <w:lang w:val="en-GB"/>
        </w:rPr>
        <w:t xml:space="preserve">cism, </w:t>
      </w:r>
      <w:r w:rsidR="00E2350E" w:rsidRPr="00262711">
        <w:rPr>
          <w:lang w:val="en-GB"/>
        </w:rPr>
        <w:t>STAI anxiety</w:t>
      </w:r>
      <w:r w:rsidR="00AA5C25">
        <w:rPr>
          <w:lang w:val="en-GB"/>
        </w:rPr>
        <w:t xml:space="preserve"> and more weakly with the FSS scales</w:t>
      </w:r>
      <w:r w:rsidR="00E2350E" w:rsidRPr="00262711">
        <w:rPr>
          <w:lang w:val="en-GB"/>
        </w:rPr>
        <w:t>.</w:t>
      </w:r>
      <w:r w:rsidR="00973BD6" w:rsidRPr="00262711">
        <w:rPr>
          <w:lang w:val="en-GB"/>
        </w:rPr>
        <w:t xml:space="preserve"> </w:t>
      </w:r>
      <w:r w:rsidR="00AA5C25">
        <w:rPr>
          <w:lang w:val="en-GB"/>
        </w:rPr>
        <w:t xml:space="preserve">In addition, Reward Interest is the only BAS factor which is </w:t>
      </w:r>
      <w:r w:rsidR="00AA5C25" w:rsidRPr="00262711">
        <w:rPr>
          <w:lang w:val="en-GB"/>
        </w:rPr>
        <w:t>positively correlated with NEO-FFI</w:t>
      </w:r>
      <w:r w:rsidR="00AA5C25">
        <w:rPr>
          <w:lang w:val="en-GB"/>
        </w:rPr>
        <w:t xml:space="preserve"> Openness.</w:t>
      </w:r>
      <w:r w:rsidR="00AA5C25" w:rsidRPr="00262711">
        <w:rPr>
          <w:lang w:val="en-GB"/>
        </w:rPr>
        <w:t xml:space="preserve"> </w:t>
      </w:r>
      <w:r w:rsidR="00973BD6" w:rsidRPr="00262711">
        <w:rPr>
          <w:lang w:val="en-GB"/>
        </w:rPr>
        <w:t>For Goal-Drive Persistence</w:t>
      </w:r>
      <w:r w:rsidR="00D23873" w:rsidRPr="00262711">
        <w:rPr>
          <w:lang w:val="en-GB"/>
        </w:rPr>
        <w:t>,</w:t>
      </w:r>
      <w:r w:rsidR="00973BD6" w:rsidRPr="00262711">
        <w:rPr>
          <w:lang w:val="en-GB"/>
        </w:rPr>
        <w:t xml:space="preserve"> </w:t>
      </w:r>
      <w:r w:rsidR="00D23873" w:rsidRPr="00262711">
        <w:rPr>
          <w:lang w:val="en-GB"/>
        </w:rPr>
        <w:t xml:space="preserve">there are large </w:t>
      </w:r>
      <w:r w:rsidR="00973BD6" w:rsidRPr="00262711">
        <w:rPr>
          <w:lang w:val="en-GB"/>
        </w:rPr>
        <w:t>positive correlations with NEO-FFI Conscientiousness</w:t>
      </w:r>
      <w:r w:rsidR="00E758EB" w:rsidRPr="00262711">
        <w:rPr>
          <w:lang w:val="en-GB"/>
        </w:rPr>
        <w:t xml:space="preserve"> and negative correlations with the NEO-FFI Neuroticism </w:t>
      </w:r>
      <w:r w:rsidR="00F21C74" w:rsidRPr="00262711">
        <w:rPr>
          <w:lang w:val="en-GB"/>
        </w:rPr>
        <w:t xml:space="preserve">and </w:t>
      </w:r>
      <w:r w:rsidR="001021EE" w:rsidRPr="00262711">
        <w:rPr>
          <w:lang w:val="en-GB"/>
        </w:rPr>
        <w:t xml:space="preserve">STAI anxiety. The BAS Reward Reactivity factor had </w:t>
      </w:r>
      <w:r w:rsidR="00AA5C25">
        <w:rPr>
          <w:lang w:val="en-GB"/>
        </w:rPr>
        <w:t xml:space="preserve">small to </w:t>
      </w:r>
      <w:r w:rsidR="001021EE" w:rsidRPr="00262711">
        <w:rPr>
          <w:lang w:val="en-GB"/>
        </w:rPr>
        <w:t xml:space="preserve">modest positive correlations with the FSS scales and the Barratt Impulsivity Scale. </w:t>
      </w:r>
      <w:r w:rsidR="00D23873" w:rsidRPr="00262711">
        <w:rPr>
          <w:lang w:val="en-GB"/>
        </w:rPr>
        <w:t>Lastly, t</w:t>
      </w:r>
      <w:r w:rsidR="001021EE" w:rsidRPr="00262711">
        <w:rPr>
          <w:lang w:val="en-GB"/>
        </w:rPr>
        <w:t xml:space="preserve">he BAS Impulsivity showed a </w:t>
      </w:r>
      <w:r w:rsidR="00F21C74" w:rsidRPr="00262711">
        <w:rPr>
          <w:lang w:val="en-GB"/>
        </w:rPr>
        <w:t>strong correlation wi</w:t>
      </w:r>
      <w:r w:rsidR="001021EE" w:rsidRPr="00262711">
        <w:rPr>
          <w:lang w:val="en-GB"/>
        </w:rPr>
        <w:t>th the Barratt Impulsivity Scale</w:t>
      </w:r>
      <w:r w:rsidR="00F21C74" w:rsidRPr="00262711">
        <w:rPr>
          <w:lang w:val="en-GB"/>
        </w:rPr>
        <w:t>.</w:t>
      </w:r>
      <w:r w:rsidR="00973BD6" w:rsidRPr="00262711">
        <w:rPr>
          <w:lang w:val="en-GB"/>
        </w:rPr>
        <w:t xml:space="preserve"> </w:t>
      </w:r>
      <w:r w:rsidR="00355104" w:rsidRPr="00262711">
        <w:rPr>
          <w:lang w:val="en-GB"/>
        </w:rPr>
        <w:t xml:space="preserve">In general, these associations are in </w:t>
      </w:r>
      <w:r w:rsidR="00374225">
        <w:rPr>
          <w:lang w:val="en-GB"/>
        </w:rPr>
        <w:t>accordance</w:t>
      </w:r>
      <w:r w:rsidR="002D1A07">
        <w:rPr>
          <w:lang w:val="en-GB"/>
        </w:rPr>
        <w:t xml:space="preserve"> </w:t>
      </w:r>
      <w:r w:rsidR="00355104" w:rsidRPr="00262711">
        <w:rPr>
          <w:lang w:val="en-GB"/>
        </w:rPr>
        <w:t xml:space="preserve">with the theoretical bases of rRST. </w:t>
      </w:r>
      <w:r w:rsidR="00D23873" w:rsidRPr="00262711">
        <w:rPr>
          <w:lang w:val="en-GB"/>
        </w:rPr>
        <w:t>Gender was moderately related to RST-PQ FFFS scores, with females having higher scores</w:t>
      </w:r>
      <w:r w:rsidR="00880C77" w:rsidRPr="00262711">
        <w:rPr>
          <w:lang w:val="en-GB"/>
        </w:rPr>
        <w:t>, which</w:t>
      </w:r>
      <w:r w:rsidR="00355104" w:rsidRPr="00262711">
        <w:rPr>
          <w:lang w:val="en-GB"/>
        </w:rPr>
        <w:t xml:space="preserve"> has been found before with the English version RST-PQ</w:t>
      </w:r>
      <w:r w:rsidR="00880C77" w:rsidRPr="00262711">
        <w:rPr>
          <w:lang w:val="en-GB"/>
        </w:rPr>
        <w:t>. O</w:t>
      </w:r>
      <w:r w:rsidR="00D23873" w:rsidRPr="00262711">
        <w:rPr>
          <w:lang w:val="en-GB"/>
        </w:rPr>
        <w:t>therwise</w:t>
      </w:r>
      <w:r w:rsidR="00880C77" w:rsidRPr="00262711">
        <w:rPr>
          <w:lang w:val="en-GB"/>
        </w:rPr>
        <w:t>,</w:t>
      </w:r>
      <w:r w:rsidR="00D23873" w:rsidRPr="00262711">
        <w:rPr>
          <w:lang w:val="en-GB"/>
        </w:rPr>
        <w:t xml:space="preserve"> gender and age had</w:t>
      </w:r>
      <w:r w:rsidR="00AA5C25">
        <w:rPr>
          <w:lang w:val="en-GB"/>
        </w:rPr>
        <w:t xml:space="preserve"> only weak</w:t>
      </w:r>
      <w:r w:rsidR="002D1A07">
        <w:rPr>
          <w:lang w:val="en-GB"/>
        </w:rPr>
        <w:t xml:space="preserve"> </w:t>
      </w:r>
      <w:r w:rsidR="00D23873" w:rsidRPr="00262711">
        <w:rPr>
          <w:lang w:val="en-GB"/>
        </w:rPr>
        <w:t>relationships with all other scales.</w:t>
      </w:r>
      <w:r w:rsidRPr="00262711">
        <w:rPr>
          <w:lang w:val="en-GB"/>
        </w:rPr>
        <w:t xml:space="preserve"> </w:t>
      </w:r>
    </w:p>
    <w:p w14:paraId="66A9E273" w14:textId="77777777" w:rsidR="00767824" w:rsidRPr="00262711" w:rsidRDefault="00DB3892" w:rsidP="003C1F14">
      <w:pPr>
        <w:spacing w:line="480" w:lineRule="auto"/>
        <w:jc w:val="center"/>
        <w:rPr>
          <w:b/>
          <w:bCs/>
          <w:iCs/>
          <w:color w:val="000000" w:themeColor="text1"/>
          <w:lang w:val="en-GB"/>
        </w:rPr>
      </w:pPr>
      <w:r w:rsidRPr="00262711">
        <w:rPr>
          <w:b/>
          <w:bCs/>
          <w:iCs/>
          <w:color w:val="000000" w:themeColor="text1"/>
          <w:lang w:val="en-GB"/>
        </w:rPr>
        <w:t>Discussion</w:t>
      </w:r>
    </w:p>
    <w:p w14:paraId="66A9E274" w14:textId="77777777" w:rsidR="00C447F2" w:rsidRPr="00262711" w:rsidRDefault="00715A6B">
      <w:pPr>
        <w:pStyle w:val="articledetails"/>
        <w:spacing w:before="0" w:beforeAutospacing="0" w:after="0" w:afterAutospacing="0" w:line="480" w:lineRule="auto"/>
        <w:ind w:firstLine="720"/>
      </w:pPr>
      <w:r w:rsidRPr="00262711">
        <w:t>W</w:t>
      </w:r>
      <w:r w:rsidR="00AE47BD" w:rsidRPr="00262711">
        <w:t xml:space="preserve">e </w:t>
      </w:r>
      <w:r w:rsidR="00C447F2" w:rsidRPr="00262711">
        <w:t xml:space="preserve">examined </w:t>
      </w:r>
      <w:r w:rsidR="00AE47BD" w:rsidRPr="00262711">
        <w:t xml:space="preserve">the </w:t>
      </w:r>
      <w:r w:rsidRPr="00262711">
        <w:t xml:space="preserve">factor structure and </w:t>
      </w:r>
      <w:r w:rsidR="00AE47BD" w:rsidRPr="00262711">
        <w:t>psychometric properties of a German-translated version of the recently developed RST-PQ (Corr &amp; Cooper, 2016)</w:t>
      </w:r>
      <w:r w:rsidR="006D609F" w:rsidRPr="00262711">
        <w:t>.</w:t>
      </w:r>
      <w:r w:rsidR="00C447F2" w:rsidRPr="00262711">
        <w:t xml:space="preserve"> We also examined the convergent and discriminant validity by correlating its factors with established measures of personality. </w:t>
      </w:r>
      <w:r w:rsidR="006D609F" w:rsidRPr="00262711">
        <w:t xml:space="preserve">The results support the </w:t>
      </w:r>
      <w:r w:rsidR="00054D37" w:rsidRPr="00262711">
        <w:t xml:space="preserve">six-factor structure reported from the original English </w:t>
      </w:r>
      <w:r w:rsidR="00054D37" w:rsidRPr="00262711">
        <w:lastRenderedPageBreak/>
        <w:t xml:space="preserve">version of the scales, </w:t>
      </w:r>
      <w:r w:rsidR="006D609F" w:rsidRPr="00262711">
        <w:t>with clear differentiation of FFFS and BIS, and four separate BAS factors comprising Reward Interest, Goal</w:t>
      </w:r>
      <w:r w:rsidR="006C05CA" w:rsidRPr="00262711">
        <w:t xml:space="preserve"> Drive-</w:t>
      </w:r>
      <w:r w:rsidR="006D609F" w:rsidRPr="00262711">
        <w:t xml:space="preserve">Persistence, Reward Reactivity, and Impulsivity. </w:t>
      </w:r>
      <w:r w:rsidR="00A450AB">
        <w:t>Regarding</w:t>
      </w:r>
      <w:r w:rsidR="00A450AB" w:rsidRPr="00262711">
        <w:t xml:space="preserve"> </w:t>
      </w:r>
      <w:r w:rsidR="006D609F" w:rsidRPr="00262711">
        <w:t xml:space="preserve">the BAS scales, the </w:t>
      </w:r>
      <w:r w:rsidR="00A450AB">
        <w:t xml:space="preserve">conceptualization of four </w:t>
      </w:r>
      <w:r w:rsidR="006D609F" w:rsidRPr="00262711">
        <w:t>single</w:t>
      </w:r>
      <w:r w:rsidR="003F5568">
        <w:t>-</w:t>
      </w:r>
      <w:r w:rsidR="006D609F" w:rsidRPr="00262711">
        <w:t xml:space="preserve">order </w:t>
      </w:r>
      <w:r w:rsidR="00A450AB">
        <w:t xml:space="preserve">BAS </w:t>
      </w:r>
      <w:r w:rsidR="006D609F" w:rsidRPr="00262711">
        <w:t>factor</w:t>
      </w:r>
      <w:r w:rsidR="00A450AB">
        <w:t>s</w:t>
      </w:r>
      <w:r w:rsidR="006D609F" w:rsidRPr="00262711">
        <w:t xml:space="preserve"> showed s</w:t>
      </w:r>
      <w:r w:rsidR="00446605" w:rsidRPr="00262711">
        <w:t>ignificant</w:t>
      </w:r>
      <w:r w:rsidR="00324943" w:rsidRPr="00262711">
        <w:t>ly</w:t>
      </w:r>
      <w:r w:rsidR="00446605" w:rsidRPr="00262711">
        <w:t xml:space="preserve"> better model fit than </w:t>
      </w:r>
      <w:r w:rsidR="00A450AB">
        <w:t xml:space="preserve">a </w:t>
      </w:r>
      <w:r w:rsidR="00A450AB" w:rsidRPr="00A450AB">
        <w:t>hierarchical structure</w:t>
      </w:r>
      <w:r w:rsidR="00A450AB">
        <w:t xml:space="preserve"> with a higher order BAS factor </w:t>
      </w:r>
      <w:r w:rsidR="00A450AB" w:rsidRPr="000E7D68">
        <w:t>“reward sensitivity”</w:t>
      </w:r>
      <w:r w:rsidR="00446605" w:rsidRPr="00262711">
        <w:t xml:space="preserve">. </w:t>
      </w:r>
      <w:r w:rsidR="00A450AB">
        <w:t>Regarding FFFS and BIS the conceptualization of two separate but correlated factors demonstrated better fit than</w:t>
      </w:r>
      <w:r w:rsidR="00A450AB" w:rsidRPr="00A450AB">
        <w:t xml:space="preserve"> </w:t>
      </w:r>
      <w:r w:rsidR="00A450AB">
        <w:t>the</w:t>
      </w:r>
      <w:r w:rsidR="00A450AB" w:rsidRPr="00A450AB">
        <w:t xml:space="preserve"> factor model</w:t>
      </w:r>
      <w:r w:rsidR="00A450AB">
        <w:t>s</w:t>
      </w:r>
      <w:r w:rsidR="00D70012">
        <w:t xml:space="preserve"> in which</w:t>
      </w:r>
      <w:r w:rsidR="00A450AB" w:rsidRPr="00A450AB">
        <w:t xml:space="preserve"> FFFS and BIS </w:t>
      </w:r>
      <w:r w:rsidR="00A450AB">
        <w:t>were either</w:t>
      </w:r>
      <w:r w:rsidR="00A450AB" w:rsidRPr="00A450AB">
        <w:t xml:space="preserve"> uncorrelat</w:t>
      </w:r>
      <w:r w:rsidR="00A450AB">
        <w:t>ed (correlation fixed to zero) or</w:t>
      </w:r>
      <w:r w:rsidR="00A450AB" w:rsidRPr="00A450AB">
        <w:t xml:space="preserve"> reflect</w:t>
      </w:r>
      <w:r w:rsidR="00A450AB">
        <w:t>ed</w:t>
      </w:r>
      <w:r w:rsidR="00A450AB" w:rsidRPr="00A450AB">
        <w:t xml:space="preserve"> one factor (correlation fixed to one).</w:t>
      </w:r>
      <w:r w:rsidR="00446605" w:rsidRPr="00262711">
        <w:t>The</w:t>
      </w:r>
      <w:r w:rsidR="001C20B1">
        <w:t xml:space="preserve"> </w:t>
      </w:r>
      <w:r w:rsidR="001C20B1" w:rsidRPr="001C20B1">
        <w:t>hypothesized</w:t>
      </w:r>
      <w:r w:rsidR="00446605" w:rsidRPr="00262711">
        <w:t xml:space="preserve"> six-</w:t>
      </w:r>
      <w:r w:rsidR="006D609F" w:rsidRPr="00262711">
        <w:t xml:space="preserve">factor </w:t>
      </w:r>
      <w:r w:rsidR="001806D8" w:rsidRPr="00262711">
        <w:t xml:space="preserve">CFA </w:t>
      </w:r>
      <w:r w:rsidR="006D609F" w:rsidRPr="00262711">
        <w:t xml:space="preserve">model </w:t>
      </w:r>
      <w:r w:rsidR="001806D8" w:rsidRPr="00262711">
        <w:t>with all items showed reasonably good fit with the data</w:t>
      </w:r>
      <w:r w:rsidR="00C447F2" w:rsidRPr="00262711">
        <w:t>:</w:t>
      </w:r>
      <w:r w:rsidR="001806D8" w:rsidRPr="00262711">
        <w:t xml:space="preserve"> the model fit indices, factor loadings and factor inter-correlations were very similar to those reported in the English language version (Corr &amp; Cooper, 2016)</w:t>
      </w:r>
      <w:r w:rsidR="006D609F" w:rsidRPr="00262711">
        <w:t xml:space="preserve">. </w:t>
      </w:r>
      <w:r w:rsidR="001806D8" w:rsidRPr="00262711">
        <w:t>Cronbach's alpha values for the resultant scales were acceptable.</w:t>
      </w:r>
    </w:p>
    <w:p w14:paraId="66A9E275" w14:textId="77777777" w:rsidR="007A2D3F" w:rsidRPr="00262711" w:rsidRDefault="00E2350E">
      <w:pPr>
        <w:tabs>
          <w:tab w:val="left" w:pos="795"/>
        </w:tabs>
        <w:spacing w:line="480" w:lineRule="auto"/>
        <w:rPr>
          <w:lang w:val="en-GB"/>
        </w:rPr>
      </w:pPr>
      <w:r w:rsidRPr="00262711">
        <w:rPr>
          <w:lang w:val="en-GB"/>
        </w:rPr>
        <w:tab/>
      </w:r>
      <w:r w:rsidR="006D609F" w:rsidRPr="00262711">
        <w:rPr>
          <w:lang w:val="en-GB"/>
        </w:rPr>
        <w:t>The correlation</w:t>
      </w:r>
      <w:r w:rsidR="001806D8" w:rsidRPr="00262711">
        <w:rPr>
          <w:lang w:val="en-GB"/>
        </w:rPr>
        <w:t xml:space="preserve">s between </w:t>
      </w:r>
      <w:r w:rsidR="006D609F" w:rsidRPr="00262711">
        <w:rPr>
          <w:lang w:val="en-GB"/>
        </w:rPr>
        <w:t xml:space="preserve">the RST-PQ scales and other personality measures were </w:t>
      </w:r>
      <w:r w:rsidR="005116D8" w:rsidRPr="00262711">
        <w:rPr>
          <w:lang w:val="en-GB"/>
        </w:rPr>
        <w:t>largely as predicted, and were</w:t>
      </w:r>
      <w:r w:rsidR="00E8257C" w:rsidRPr="00262711">
        <w:rPr>
          <w:lang w:val="en-GB"/>
        </w:rPr>
        <w:t xml:space="preserve"> </w:t>
      </w:r>
      <w:r w:rsidR="006D609F" w:rsidRPr="00262711">
        <w:rPr>
          <w:lang w:val="en-GB"/>
        </w:rPr>
        <w:t xml:space="preserve">very similar to </w:t>
      </w:r>
      <w:r w:rsidR="001806D8" w:rsidRPr="00262711">
        <w:rPr>
          <w:lang w:val="en-GB"/>
        </w:rPr>
        <w:t xml:space="preserve">those reported in </w:t>
      </w:r>
      <w:r w:rsidR="006D609F" w:rsidRPr="00262711">
        <w:rPr>
          <w:lang w:val="en-GB"/>
        </w:rPr>
        <w:t xml:space="preserve">the original </w:t>
      </w:r>
      <w:r w:rsidR="005116D8" w:rsidRPr="00262711">
        <w:rPr>
          <w:lang w:val="en-GB"/>
        </w:rPr>
        <w:t xml:space="preserve">study, where </w:t>
      </w:r>
      <w:r w:rsidR="00C447F2" w:rsidRPr="00262711">
        <w:rPr>
          <w:lang w:val="en-GB"/>
        </w:rPr>
        <w:t>the same or similar</w:t>
      </w:r>
      <w:r w:rsidR="005116D8" w:rsidRPr="00262711">
        <w:rPr>
          <w:lang w:val="en-GB"/>
        </w:rPr>
        <w:t xml:space="preserve"> scale</w:t>
      </w:r>
      <w:r w:rsidR="00C447F2" w:rsidRPr="00262711">
        <w:rPr>
          <w:lang w:val="en-GB"/>
        </w:rPr>
        <w:t>s</w:t>
      </w:r>
      <w:r w:rsidR="005116D8" w:rsidRPr="00262711">
        <w:rPr>
          <w:lang w:val="en-GB"/>
        </w:rPr>
        <w:t xml:space="preserve"> w</w:t>
      </w:r>
      <w:r w:rsidR="00C447F2" w:rsidRPr="00262711">
        <w:rPr>
          <w:lang w:val="en-GB"/>
        </w:rPr>
        <w:t>ere</w:t>
      </w:r>
      <w:r w:rsidR="005116D8" w:rsidRPr="00262711">
        <w:rPr>
          <w:lang w:val="en-GB"/>
        </w:rPr>
        <w:t xml:space="preserve"> used </w:t>
      </w:r>
      <w:r w:rsidR="001806D8" w:rsidRPr="00262711">
        <w:rPr>
          <w:lang w:val="en-GB"/>
        </w:rPr>
        <w:t>(Corr &amp; Cooper, 2016)</w:t>
      </w:r>
      <w:r w:rsidR="006D609F" w:rsidRPr="00262711">
        <w:rPr>
          <w:lang w:val="en-GB"/>
        </w:rPr>
        <w:t>.</w:t>
      </w:r>
      <w:r w:rsidR="00E8257C" w:rsidRPr="00262711">
        <w:rPr>
          <w:lang w:val="en-GB"/>
        </w:rPr>
        <w:t xml:space="preserve"> </w:t>
      </w:r>
      <w:r w:rsidR="005116D8" w:rsidRPr="00262711">
        <w:rPr>
          <w:lang w:val="en-GB"/>
        </w:rPr>
        <w:t>In broad terms, the FFFS, BIS and BAS scales from the RST-PQ correlated most strongly with</w:t>
      </w:r>
      <w:r w:rsidR="00E8257C" w:rsidRPr="00262711">
        <w:rPr>
          <w:lang w:val="en-GB"/>
        </w:rPr>
        <w:t xml:space="preserve"> </w:t>
      </w:r>
      <w:r w:rsidR="005116D8" w:rsidRPr="00262711">
        <w:rPr>
          <w:lang w:val="en-GB"/>
        </w:rPr>
        <w:t xml:space="preserve">the scales that </w:t>
      </w:r>
      <w:r w:rsidR="00B47882" w:rsidRPr="00262711">
        <w:rPr>
          <w:lang w:val="en-GB"/>
        </w:rPr>
        <w:t>were expected</w:t>
      </w:r>
      <w:r w:rsidR="005116D8" w:rsidRPr="00262711">
        <w:rPr>
          <w:lang w:val="en-GB"/>
        </w:rPr>
        <w:t xml:space="preserve">. </w:t>
      </w:r>
      <w:r w:rsidR="00E8257C" w:rsidRPr="00262711">
        <w:rPr>
          <w:lang w:val="en-GB"/>
        </w:rPr>
        <w:t xml:space="preserve">Of </w:t>
      </w:r>
      <w:r w:rsidR="005116D8" w:rsidRPr="00262711">
        <w:rPr>
          <w:lang w:val="en-GB"/>
        </w:rPr>
        <w:t>particular</w:t>
      </w:r>
      <w:r w:rsidR="00E8257C" w:rsidRPr="00262711">
        <w:rPr>
          <w:lang w:val="en-GB"/>
        </w:rPr>
        <w:t xml:space="preserve"> note, RST-PQ BIS</w:t>
      </w:r>
      <w:r w:rsidR="00742A2C" w:rsidRPr="00262711">
        <w:rPr>
          <w:lang w:val="en-GB"/>
        </w:rPr>
        <w:t xml:space="preserve"> </w:t>
      </w:r>
      <w:r w:rsidR="00E8257C" w:rsidRPr="00262711">
        <w:rPr>
          <w:lang w:val="en-GB"/>
        </w:rPr>
        <w:t xml:space="preserve">was very highly </w:t>
      </w:r>
      <w:r w:rsidR="00742A2C" w:rsidRPr="00262711">
        <w:rPr>
          <w:lang w:val="en-GB"/>
        </w:rPr>
        <w:t xml:space="preserve">positively </w:t>
      </w:r>
      <w:r w:rsidR="00E8257C" w:rsidRPr="00262711">
        <w:rPr>
          <w:lang w:val="en-GB"/>
        </w:rPr>
        <w:t>correlated with STAI trait anxiety</w:t>
      </w:r>
      <w:r w:rsidR="005116D8" w:rsidRPr="00262711">
        <w:rPr>
          <w:lang w:val="en-GB"/>
        </w:rPr>
        <w:t xml:space="preserve"> and NEO</w:t>
      </w:r>
      <w:r w:rsidR="004912DF" w:rsidRPr="00262711">
        <w:rPr>
          <w:lang w:val="en-GB"/>
        </w:rPr>
        <w:t>-FFI</w:t>
      </w:r>
      <w:r w:rsidR="005116D8" w:rsidRPr="00262711">
        <w:rPr>
          <w:lang w:val="en-GB"/>
        </w:rPr>
        <w:t xml:space="preserve"> Neuroticism</w:t>
      </w:r>
      <w:r w:rsidR="00E8257C" w:rsidRPr="00262711">
        <w:rPr>
          <w:lang w:val="en-GB"/>
        </w:rPr>
        <w:t xml:space="preserve">, </w:t>
      </w:r>
      <w:r w:rsidR="00742A2C" w:rsidRPr="00262711">
        <w:rPr>
          <w:lang w:val="en-GB"/>
        </w:rPr>
        <w:t>as we would expect, with the RST-PQ FFS scale also having positive correlations with these scales, but of a substantially lower magnitude. This provides further support for the psychometric</w:t>
      </w:r>
      <w:r w:rsidR="00E8257C" w:rsidRPr="00262711">
        <w:rPr>
          <w:lang w:val="en-GB"/>
        </w:rPr>
        <w:t xml:space="preserve"> separation of </w:t>
      </w:r>
      <w:r w:rsidR="00742A2C" w:rsidRPr="00262711">
        <w:rPr>
          <w:lang w:val="en-GB"/>
        </w:rPr>
        <w:t xml:space="preserve">the </w:t>
      </w:r>
      <w:r w:rsidR="00E8257C" w:rsidRPr="00262711">
        <w:rPr>
          <w:lang w:val="en-GB"/>
        </w:rPr>
        <w:t xml:space="preserve">FFFS and BIS </w:t>
      </w:r>
      <w:r w:rsidR="00742A2C" w:rsidRPr="00262711">
        <w:rPr>
          <w:lang w:val="en-GB"/>
        </w:rPr>
        <w:t>scales</w:t>
      </w:r>
      <w:r w:rsidR="00E8257C" w:rsidRPr="00262711">
        <w:rPr>
          <w:lang w:val="en-GB"/>
        </w:rPr>
        <w:t xml:space="preserve">. </w:t>
      </w:r>
      <w:r w:rsidR="00742A2C" w:rsidRPr="00262711">
        <w:rPr>
          <w:lang w:val="en-GB"/>
        </w:rPr>
        <w:t>Also</w:t>
      </w:r>
      <w:r w:rsidR="003E1BA9" w:rsidRPr="00262711">
        <w:rPr>
          <w:lang w:val="en-GB"/>
        </w:rPr>
        <w:t>, b</w:t>
      </w:r>
      <w:r w:rsidR="00E8257C" w:rsidRPr="00262711">
        <w:rPr>
          <w:lang w:val="en-GB"/>
        </w:rPr>
        <w:t>oth the FFFS and the BIS were moderat</w:t>
      </w:r>
      <w:r w:rsidR="003E1BA9" w:rsidRPr="00262711">
        <w:rPr>
          <w:lang w:val="en-GB"/>
        </w:rPr>
        <w:t>ely correlated with social fear</w:t>
      </w:r>
      <w:r w:rsidR="00E8257C" w:rsidRPr="00262711">
        <w:rPr>
          <w:lang w:val="en-GB"/>
        </w:rPr>
        <w:t xml:space="preserve"> and tissue damage fear</w:t>
      </w:r>
      <w:r w:rsidR="003E1BA9" w:rsidRPr="00262711">
        <w:rPr>
          <w:lang w:val="en-GB"/>
        </w:rPr>
        <w:t>, but the FFFS showed a higher correlation with tissue damage fear</w:t>
      </w:r>
      <w:r w:rsidR="00C447F2" w:rsidRPr="00262711">
        <w:rPr>
          <w:lang w:val="en-GB"/>
        </w:rPr>
        <w:t xml:space="preserve"> (representing fear proper)</w:t>
      </w:r>
      <w:r w:rsidR="00742A2C" w:rsidRPr="00262711">
        <w:rPr>
          <w:lang w:val="en-GB"/>
        </w:rPr>
        <w:t>,</w:t>
      </w:r>
      <w:r w:rsidR="003E1BA9" w:rsidRPr="00262711">
        <w:rPr>
          <w:lang w:val="en-GB"/>
        </w:rPr>
        <w:t xml:space="preserve"> whereas the BIS showed </w:t>
      </w:r>
      <w:r w:rsidR="00742A2C" w:rsidRPr="00262711">
        <w:rPr>
          <w:lang w:val="en-GB"/>
        </w:rPr>
        <w:t xml:space="preserve">a </w:t>
      </w:r>
      <w:r w:rsidR="003E1BA9" w:rsidRPr="00262711">
        <w:rPr>
          <w:lang w:val="en-GB"/>
        </w:rPr>
        <w:t>higher correlation with social fear</w:t>
      </w:r>
      <w:r w:rsidR="00C447F2" w:rsidRPr="00262711">
        <w:rPr>
          <w:lang w:val="en-GB"/>
        </w:rPr>
        <w:t xml:space="preserve"> (representing goal-conflict related anxiety)</w:t>
      </w:r>
      <w:r w:rsidR="00E8257C" w:rsidRPr="00262711">
        <w:rPr>
          <w:lang w:val="en-GB"/>
        </w:rPr>
        <w:t>.</w:t>
      </w:r>
      <w:r w:rsidRPr="00262711">
        <w:rPr>
          <w:lang w:val="en-GB"/>
        </w:rPr>
        <w:t xml:space="preserve"> The Barratt Impulsivity Scale showed the highest correlation with the RST-PQ BAS Impulsivity scale</w:t>
      </w:r>
      <w:r w:rsidR="004A0532" w:rsidRPr="00262711">
        <w:rPr>
          <w:lang w:val="en-GB"/>
        </w:rPr>
        <w:t>, but did not correlate strongly with the other BAS scales</w:t>
      </w:r>
      <w:r w:rsidR="00880C77" w:rsidRPr="00262711">
        <w:rPr>
          <w:lang w:val="en-GB"/>
        </w:rPr>
        <w:t xml:space="preserve">, </w:t>
      </w:r>
      <w:r w:rsidR="00C447F2" w:rsidRPr="00262711">
        <w:rPr>
          <w:lang w:val="en-GB"/>
        </w:rPr>
        <w:t>as expected</w:t>
      </w:r>
      <w:r w:rsidR="004A0532" w:rsidRPr="00262711">
        <w:rPr>
          <w:lang w:val="en-GB"/>
        </w:rPr>
        <w:t xml:space="preserve">. </w:t>
      </w:r>
      <w:r w:rsidR="004912DF" w:rsidRPr="00262711">
        <w:rPr>
          <w:lang w:val="en-GB"/>
        </w:rPr>
        <w:t xml:space="preserve">For the other NEO-FFI scales, </w:t>
      </w:r>
      <w:r w:rsidR="004C6116">
        <w:rPr>
          <w:lang w:val="en-GB"/>
        </w:rPr>
        <w:t>E</w:t>
      </w:r>
      <w:r w:rsidR="004912DF" w:rsidRPr="00262711">
        <w:rPr>
          <w:lang w:val="en-GB"/>
        </w:rPr>
        <w:t xml:space="preserve">xtraversion correlated positively and moderately with all of the BAS scales, while </w:t>
      </w:r>
      <w:r w:rsidR="004C6116">
        <w:rPr>
          <w:lang w:val="en-GB"/>
        </w:rPr>
        <w:t>C</w:t>
      </w:r>
      <w:r w:rsidR="004912DF" w:rsidRPr="00262711">
        <w:rPr>
          <w:lang w:val="en-GB"/>
        </w:rPr>
        <w:t xml:space="preserve">onscientiousness had a large positive correlation with BAS Goal-Drive </w:t>
      </w:r>
      <w:r w:rsidR="004912DF" w:rsidRPr="00262711">
        <w:rPr>
          <w:lang w:val="en-GB"/>
        </w:rPr>
        <w:lastRenderedPageBreak/>
        <w:t xml:space="preserve">Persistence, but none of the other RST-PQ scales. Agreeableness and Openness had only small correlations with each of the RST-PQ scales. </w:t>
      </w:r>
      <w:r w:rsidR="00B55707" w:rsidRPr="00262711">
        <w:rPr>
          <w:lang w:val="en-GB"/>
        </w:rPr>
        <w:t xml:space="preserve">In sum, this initial investigation of the psychometric properties of the German language RST-PQ suggests it is comparable to the </w:t>
      </w:r>
      <w:r w:rsidR="000645F1" w:rsidRPr="00262711">
        <w:rPr>
          <w:lang w:val="en-GB"/>
        </w:rPr>
        <w:t>English language</w:t>
      </w:r>
      <w:r w:rsidR="00B55707" w:rsidRPr="00262711">
        <w:rPr>
          <w:lang w:val="en-GB"/>
        </w:rPr>
        <w:t xml:space="preserve"> RST-PQ and potentially a viable tool for research on rRST in German speaking samples.</w:t>
      </w:r>
      <w:r w:rsidR="005F7D89">
        <w:rPr>
          <w:lang w:val="en-GB"/>
        </w:rPr>
        <w:t xml:space="preserve"> </w:t>
      </w:r>
    </w:p>
    <w:p w14:paraId="66A9E276" w14:textId="77777777" w:rsidR="00D87C00" w:rsidRPr="00262711" w:rsidRDefault="00EC107C" w:rsidP="006D609F">
      <w:pPr>
        <w:pStyle w:val="articledetails"/>
        <w:spacing w:before="0" w:beforeAutospacing="0" w:after="0" w:afterAutospacing="0" w:line="480" w:lineRule="auto"/>
        <w:ind w:firstLine="720"/>
      </w:pPr>
      <w:r w:rsidRPr="00262711">
        <w:t>F</w:t>
      </w:r>
      <w:r w:rsidR="003601EB" w:rsidRPr="00262711">
        <w:t xml:space="preserve">urther research will be needed to </w:t>
      </w:r>
      <w:r w:rsidR="00E15D46" w:rsidRPr="00262711">
        <w:t xml:space="preserve">evaluate </w:t>
      </w:r>
      <w:r w:rsidRPr="00262711">
        <w:t xml:space="preserve">in more detail </w:t>
      </w:r>
      <w:r w:rsidR="00E15D46" w:rsidRPr="00262711">
        <w:t xml:space="preserve">the psychometric properties of the German RST-PQ. </w:t>
      </w:r>
      <w:r w:rsidR="006E4495" w:rsidRPr="00262711">
        <w:t>For example, it w</w:t>
      </w:r>
      <w:r w:rsidRPr="00262711">
        <w:t>ould</w:t>
      </w:r>
      <w:r w:rsidR="006E4495" w:rsidRPr="00262711">
        <w:t xml:space="preserve"> be important to establish the divergent validity of the BIS and FFFS scales in the RST-PQ</w:t>
      </w:r>
      <w:r w:rsidR="008162A7" w:rsidRPr="00262711">
        <w:t xml:space="preserve"> in relation to neuroscientific and behavioural data</w:t>
      </w:r>
      <w:r w:rsidR="006E4495" w:rsidRPr="00262711">
        <w:t>, given the putative differences in the functional properties and neuropsychopharmacological bases associated with these systems (Corr &amp; McNaughton, 2012; McNaughton &amp; Corr, 2004, 2008</w:t>
      </w:r>
      <w:r w:rsidR="00880C77" w:rsidRPr="00262711">
        <w:t>; Perkins et al., 2009</w:t>
      </w:r>
      <w:r w:rsidR="006E4495" w:rsidRPr="00262711">
        <w:t xml:space="preserve">). </w:t>
      </w:r>
      <w:r w:rsidR="00A4572C" w:rsidRPr="00262711">
        <w:t>Similarly, it w</w:t>
      </w:r>
      <w:r w:rsidRPr="00262711">
        <w:t>ould</w:t>
      </w:r>
      <w:r w:rsidR="00A4572C" w:rsidRPr="00262711">
        <w:t xml:space="preserve"> be important for future research to </w:t>
      </w:r>
      <w:r w:rsidRPr="00262711">
        <w:t xml:space="preserve">test </w:t>
      </w:r>
      <w:r w:rsidR="00A4572C" w:rsidRPr="00262711">
        <w:t>directly</w:t>
      </w:r>
      <w:r w:rsidRPr="00262711">
        <w:t xml:space="preserve">, </w:t>
      </w:r>
      <w:r w:rsidR="00A4572C" w:rsidRPr="00262711">
        <w:t>and contrast the validity and efficacy</w:t>
      </w:r>
      <w:r w:rsidRPr="00262711">
        <w:t>,</w:t>
      </w:r>
      <w:r w:rsidR="00A4572C" w:rsidRPr="00262711">
        <w:t xml:space="preserve"> of the different measures that have been developed recently for rRST in relation to theoretically relevant variables</w:t>
      </w:r>
      <w:r w:rsidRPr="00262711">
        <w:t xml:space="preserve"> (see Corr, 2016)</w:t>
      </w:r>
      <w:r w:rsidR="00A4572C" w:rsidRPr="00262711">
        <w:t>. With regards to German speaking samples, this w</w:t>
      </w:r>
      <w:r w:rsidRPr="00262711">
        <w:t>ould</w:t>
      </w:r>
      <w:r w:rsidR="00A4572C" w:rsidRPr="00262711">
        <w:t xml:space="preserve"> involve </w:t>
      </w:r>
      <w:r w:rsidRPr="00262711">
        <w:t xml:space="preserve">a </w:t>
      </w:r>
      <w:r w:rsidR="00A4572C" w:rsidRPr="00262711">
        <w:t>direct contrast</w:t>
      </w:r>
      <w:r w:rsidRPr="00262711">
        <w:t xml:space="preserve"> with</w:t>
      </w:r>
      <w:r w:rsidR="00A4572C" w:rsidRPr="00262711">
        <w:t xml:space="preserve"> the German RST-PQ </w:t>
      </w:r>
      <w:r w:rsidR="00B60C33" w:rsidRPr="00262711">
        <w:t xml:space="preserve">reported here </w:t>
      </w:r>
      <w:r w:rsidR="00A4572C" w:rsidRPr="00262711">
        <w:t xml:space="preserve">and the existing </w:t>
      </w:r>
      <w:r w:rsidR="00B60C33" w:rsidRPr="00262711">
        <w:t xml:space="preserve">German language </w:t>
      </w:r>
      <w:r w:rsidR="003706EA" w:rsidRPr="00262711">
        <w:t xml:space="preserve">version of the </w:t>
      </w:r>
      <w:r w:rsidR="00B60C33" w:rsidRPr="00262711">
        <w:t xml:space="preserve">Reuter </w:t>
      </w:r>
      <w:r w:rsidR="009C3BC3" w:rsidRPr="00262711">
        <w:t>et al.</w:t>
      </w:r>
      <w:r w:rsidR="00B60C33" w:rsidRPr="00262711">
        <w:t xml:space="preserve"> </w:t>
      </w:r>
      <w:r w:rsidRPr="00262711">
        <w:t>(</w:t>
      </w:r>
      <w:r w:rsidR="00B60C33" w:rsidRPr="00262711">
        <w:t>rRST-Q</w:t>
      </w:r>
      <w:r w:rsidRPr="00262711">
        <w:t xml:space="preserve">; </w:t>
      </w:r>
      <w:r w:rsidR="00A4572C" w:rsidRPr="00262711">
        <w:t>Reuter et al</w:t>
      </w:r>
      <w:r w:rsidR="00B60C33" w:rsidRPr="00262711">
        <w:t xml:space="preserve">., </w:t>
      </w:r>
      <w:r w:rsidR="00A4572C" w:rsidRPr="00262711">
        <w:t>2015).</w:t>
      </w:r>
      <w:r w:rsidRPr="00262711">
        <w:t xml:space="preserve"> </w:t>
      </w:r>
      <w:r w:rsidR="0083764C" w:rsidRPr="00262711">
        <w:t xml:space="preserve">Establishing the validity of the German RST-PQ in relation to a broader set of </w:t>
      </w:r>
      <w:r w:rsidR="003364EA" w:rsidRPr="00262711">
        <w:t xml:space="preserve">more widely used </w:t>
      </w:r>
      <w:r w:rsidR="0083764C" w:rsidRPr="00262711">
        <w:t xml:space="preserve">personality measures, for example the German version of the Carver and White BIS/BAS scales (Strobel, Beauducel, Debener, &amp; Brocke, 2001), </w:t>
      </w:r>
      <w:r w:rsidRPr="00262711">
        <w:t>should</w:t>
      </w:r>
      <w:r w:rsidR="0083764C" w:rsidRPr="00262711">
        <w:t xml:space="preserve"> also </w:t>
      </w:r>
      <w:r w:rsidR="004C6116">
        <w:t xml:space="preserve">be </w:t>
      </w:r>
      <w:r w:rsidR="0083764C" w:rsidRPr="00262711">
        <w:t>a priority for future research</w:t>
      </w:r>
      <w:r w:rsidRPr="00262711">
        <w:t>.</w:t>
      </w:r>
    </w:p>
    <w:p w14:paraId="66A9E277" w14:textId="77777777" w:rsidR="00BA50D8" w:rsidRPr="00262711" w:rsidRDefault="00D87C00" w:rsidP="00BA50D8">
      <w:pPr>
        <w:pStyle w:val="articledetails"/>
        <w:spacing w:before="0" w:beforeAutospacing="0" w:after="0" w:afterAutospacing="0" w:line="480" w:lineRule="auto"/>
        <w:ind w:firstLine="720"/>
      </w:pPr>
      <w:r w:rsidRPr="00262711">
        <w:t xml:space="preserve">In conclusion, we present and report a German language version of the RST-PQ. </w:t>
      </w:r>
      <w:r w:rsidR="00E22E6B" w:rsidRPr="00262711">
        <w:t xml:space="preserve">The factor structure of the original English version was replicated in the German version, and initial evidence for the convergent and discriminant validity of the resulting scales was </w:t>
      </w:r>
      <w:r w:rsidR="004B141F" w:rsidRPr="00262711">
        <w:t>good</w:t>
      </w:r>
      <w:r w:rsidR="00E22E6B" w:rsidRPr="00262711">
        <w:t xml:space="preserve">. Future studies should seek to establish </w:t>
      </w:r>
      <w:r w:rsidR="004B141F" w:rsidRPr="00262711">
        <w:t xml:space="preserve">further </w:t>
      </w:r>
      <w:r w:rsidR="00E22E6B" w:rsidRPr="00262711">
        <w:t xml:space="preserve">the validity of the RST-PQ using neuroscientific and </w:t>
      </w:r>
      <w:r w:rsidR="006C1399">
        <w:t>behaviour</w:t>
      </w:r>
      <w:r w:rsidR="00E22E6B" w:rsidRPr="00262711">
        <w:t xml:space="preserve">al data. </w:t>
      </w:r>
      <w:r w:rsidR="0052109A" w:rsidRPr="00262711">
        <w:t xml:space="preserve">Having a version of the RST-PQ that is suitable for German speaking samples will clearly assist in this process. </w:t>
      </w:r>
    </w:p>
    <w:p w14:paraId="66A9E278" w14:textId="77777777" w:rsidR="00E7708E" w:rsidRDefault="00E7708E">
      <w:pPr>
        <w:rPr>
          <w:b/>
          <w:lang w:val="en-GB"/>
        </w:rPr>
      </w:pPr>
      <w:r w:rsidRPr="00262711">
        <w:rPr>
          <w:b/>
          <w:lang w:val="en-GB"/>
        </w:rPr>
        <w:br w:type="page"/>
      </w:r>
    </w:p>
    <w:p w14:paraId="66A9E279" w14:textId="77777777" w:rsidR="003F228C" w:rsidRDefault="003F228C" w:rsidP="003F228C">
      <w:pPr>
        <w:jc w:val="center"/>
        <w:rPr>
          <w:b/>
          <w:lang w:val="en-GB"/>
        </w:rPr>
      </w:pPr>
      <w:r w:rsidRPr="003F228C">
        <w:rPr>
          <w:b/>
          <w:lang w:val="en-GB"/>
        </w:rPr>
        <w:lastRenderedPageBreak/>
        <w:t>Electronic Supplementary Material</w:t>
      </w:r>
    </w:p>
    <w:p w14:paraId="66A9E27A" w14:textId="77777777" w:rsidR="0058059A" w:rsidRDefault="0058059A" w:rsidP="00BA50D8">
      <w:pPr>
        <w:rPr>
          <w:lang w:val="en-GB"/>
        </w:rPr>
      </w:pPr>
    </w:p>
    <w:p w14:paraId="66A9E27B" w14:textId="77777777" w:rsidR="003F228C" w:rsidRDefault="0058059A" w:rsidP="00BA50D8">
      <w:pPr>
        <w:rPr>
          <w:lang w:val="en-GB"/>
        </w:rPr>
      </w:pPr>
      <w:r>
        <w:rPr>
          <w:lang w:val="en-GB"/>
        </w:rPr>
        <w:t xml:space="preserve">ESM1. </w:t>
      </w:r>
      <w:r w:rsidR="00B858E0" w:rsidRPr="00262711">
        <w:rPr>
          <w:lang w:val="en-GB"/>
        </w:rPr>
        <w:t>German</w:t>
      </w:r>
      <w:r w:rsidR="00B858E0">
        <w:rPr>
          <w:lang w:val="en-GB"/>
        </w:rPr>
        <w:t xml:space="preserve"> </w:t>
      </w:r>
      <w:r>
        <w:rPr>
          <w:lang w:val="en-GB"/>
        </w:rPr>
        <w:t>version</w:t>
      </w:r>
      <w:r w:rsidR="00B858E0">
        <w:rPr>
          <w:lang w:val="en-GB"/>
        </w:rPr>
        <w:t xml:space="preserve"> of the</w:t>
      </w:r>
      <w:r w:rsidR="00B858E0" w:rsidRPr="00262711">
        <w:rPr>
          <w:lang w:val="en-GB"/>
        </w:rPr>
        <w:t xml:space="preserve"> RST-PQ</w:t>
      </w:r>
      <w:r>
        <w:rPr>
          <w:lang w:val="en-GB"/>
        </w:rPr>
        <w:t xml:space="preserve"> (</w:t>
      </w:r>
      <w:r w:rsidR="00141818">
        <w:rPr>
          <w:lang w:val="en-GB"/>
        </w:rPr>
        <w:t>Corr-Cooper-</w:t>
      </w:r>
      <w:r w:rsidR="00141818" w:rsidRPr="00141818">
        <w:rPr>
          <w:lang w:val="en-GB"/>
        </w:rPr>
        <w:t>RST-PQ-German-2016</w:t>
      </w:r>
      <w:r w:rsidR="00141818">
        <w:rPr>
          <w:lang w:val="en-GB"/>
        </w:rPr>
        <w:t>.pdf</w:t>
      </w:r>
      <w:r>
        <w:rPr>
          <w:lang w:val="en-GB"/>
        </w:rPr>
        <w:t>)</w:t>
      </w:r>
    </w:p>
    <w:p w14:paraId="66A9E27C" w14:textId="77777777" w:rsidR="00BA50D8" w:rsidRDefault="00BA50D8" w:rsidP="00BA50D8">
      <w:pPr>
        <w:rPr>
          <w:lang w:val="en-GB"/>
        </w:rPr>
      </w:pPr>
    </w:p>
    <w:p w14:paraId="66A9E27D" w14:textId="77777777" w:rsidR="00BA50D8" w:rsidRDefault="00BA50D8" w:rsidP="00BA50D8">
      <w:pPr>
        <w:rPr>
          <w:b/>
          <w:lang w:val="en-GB"/>
        </w:rPr>
      </w:pPr>
    </w:p>
    <w:p w14:paraId="2F6E39E2" w14:textId="77777777" w:rsidR="00CA4387" w:rsidRDefault="00CA4387">
      <w:pPr>
        <w:rPr>
          <w:b/>
          <w:lang w:val="en-GB"/>
        </w:rPr>
      </w:pPr>
    </w:p>
    <w:p w14:paraId="086514D8" w14:textId="77777777" w:rsidR="003C6BBA" w:rsidRDefault="003C6BBA">
      <w:pPr>
        <w:rPr>
          <w:b/>
          <w:lang w:val="en-GB"/>
        </w:rPr>
      </w:pPr>
    </w:p>
    <w:p w14:paraId="32AF708A" w14:textId="297FB484" w:rsidR="00CA4387" w:rsidRDefault="00CA4387" w:rsidP="003D229A">
      <w:pPr>
        <w:jc w:val="center"/>
        <w:rPr>
          <w:b/>
          <w:lang w:val="en-GB"/>
        </w:rPr>
      </w:pPr>
      <w:r>
        <w:rPr>
          <w:b/>
          <w:lang w:val="en-GB"/>
        </w:rPr>
        <w:t>Acknowledgements</w:t>
      </w:r>
    </w:p>
    <w:p w14:paraId="4F01DDD9" w14:textId="77777777" w:rsidR="00CA4387" w:rsidRDefault="00CA4387">
      <w:pPr>
        <w:rPr>
          <w:b/>
          <w:lang w:val="en-GB"/>
        </w:rPr>
      </w:pPr>
    </w:p>
    <w:p w14:paraId="1868A0F2" w14:textId="77777777" w:rsidR="00CA4387" w:rsidRDefault="00CA4387">
      <w:pPr>
        <w:rPr>
          <w:lang w:val="en-GB"/>
        </w:rPr>
      </w:pPr>
      <w:r>
        <w:rPr>
          <w:lang w:val="en-GB"/>
        </w:rPr>
        <w:t>The study was supported by DFG grant Et 31/2-1 to UE.</w:t>
      </w:r>
    </w:p>
    <w:p w14:paraId="66A9E27E" w14:textId="00F322C8" w:rsidR="003F228C" w:rsidRPr="003D229A" w:rsidRDefault="00CA4387">
      <w:pPr>
        <w:rPr>
          <w:lang w:val="en-GB"/>
        </w:rPr>
      </w:pPr>
      <w:r w:rsidRPr="003D229A">
        <w:rPr>
          <w:lang w:val="en-GB"/>
        </w:rPr>
        <w:t xml:space="preserve"> </w:t>
      </w:r>
      <w:r w:rsidR="003F228C" w:rsidRPr="003D229A">
        <w:rPr>
          <w:lang w:val="en-GB"/>
        </w:rPr>
        <w:br w:type="page"/>
      </w:r>
    </w:p>
    <w:p w14:paraId="66A9E27F" w14:textId="77777777" w:rsidR="003F228C" w:rsidRPr="00262711" w:rsidRDefault="003F228C" w:rsidP="003F228C">
      <w:pPr>
        <w:jc w:val="center"/>
        <w:rPr>
          <w:b/>
          <w:lang w:val="en-GB"/>
        </w:rPr>
      </w:pPr>
    </w:p>
    <w:p w14:paraId="66A9E280" w14:textId="77777777" w:rsidR="00D74CA9" w:rsidRPr="00262711" w:rsidRDefault="00DB3892" w:rsidP="00D74CA9">
      <w:pPr>
        <w:tabs>
          <w:tab w:val="left" w:pos="795"/>
        </w:tabs>
        <w:spacing w:line="480" w:lineRule="auto"/>
        <w:jc w:val="center"/>
        <w:rPr>
          <w:b/>
          <w:lang w:val="en-GB"/>
        </w:rPr>
      </w:pPr>
      <w:r w:rsidRPr="00262711">
        <w:rPr>
          <w:b/>
          <w:lang w:val="en-GB"/>
        </w:rPr>
        <w:t>References</w:t>
      </w:r>
      <w:r w:rsidR="00A5411F">
        <w:rPr>
          <w:b/>
          <w:lang w:val="en-GB"/>
        </w:rPr>
        <w:t xml:space="preserve"> </w:t>
      </w:r>
    </w:p>
    <w:p w14:paraId="66A9E281" w14:textId="77777777" w:rsidR="008D1EE3" w:rsidRDefault="008D1EE3" w:rsidP="008D1EE3">
      <w:pPr>
        <w:autoSpaceDE w:val="0"/>
        <w:autoSpaceDN w:val="0"/>
        <w:adjustRightInd w:val="0"/>
        <w:spacing w:line="480" w:lineRule="auto"/>
        <w:ind w:left="706" w:hanging="706"/>
        <w:rPr>
          <w:lang w:val="en-GB"/>
        </w:rPr>
      </w:pPr>
      <w:r w:rsidRPr="00262711">
        <w:rPr>
          <w:lang w:val="en-GB"/>
        </w:rPr>
        <w:t xml:space="preserve">Arrindell, W. A. (1980). Dimensional structure and psychopathology correlates of the Fear Survey Schedule (FSS-III) in a phobic population: A factorial definition of agoraphobia. </w:t>
      </w:r>
      <w:r w:rsidRPr="00262711">
        <w:rPr>
          <w:i/>
          <w:lang w:val="en-GB"/>
        </w:rPr>
        <w:t>Behaviour Research and Therapy</w:t>
      </w:r>
      <w:r w:rsidRPr="00262711">
        <w:rPr>
          <w:lang w:val="en-GB"/>
        </w:rPr>
        <w:t xml:space="preserve">, </w:t>
      </w:r>
      <w:r w:rsidRPr="00262711">
        <w:rPr>
          <w:i/>
          <w:lang w:val="en-GB"/>
        </w:rPr>
        <w:t>18</w:t>
      </w:r>
      <w:r w:rsidRPr="00262711">
        <w:rPr>
          <w:lang w:val="en-GB"/>
        </w:rPr>
        <w:t>, 229-242.</w:t>
      </w:r>
      <w:r w:rsidR="00BD7733">
        <w:rPr>
          <w:lang w:val="en-GB"/>
        </w:rPr>
        <w:t xml:space="preserve"> doi: </w:t>
      </w:r>
      <w:r w:rsidR="00BD7733" w:rsidRPr="00BD7733">
        <w:rPr>
          <w:lang w:val="en-GB"/>
        </w:rPr>
        <w:t>10.1016/0005-7967(80)90080-7</w:t>
      </w:r>
    </w:p>
    <w:p w14:paraId="66A9E282" w14:textId="77777777" w:rsidR="003D3592" w:rsidRDefault="003D3592" w:rsidP="008D1EE3">
      <w:pPr>
        <w:autoSpaceDE w:val="0"/>
        <w:autoSpaceDN w:val="0"/>
        <w:adjustRightInd w:val="0"/>
        <w:spacing w:line="480" w:lineRule="auto"/>
        <w:ind w:left="706" w:hanging="706"/>
        <w:rPr>
          <w:lang w:val="en-GB"/>
        </w:rPr>
      </w:pPr>
      <w:r w:rsidRPr="003D3592">
        <w:rPr>
          <w:lang w:val="en-GB"/>
        </w:rPr>
        <w:t xml:space="preserve">Asparouhov, T., Muthén, B., &amp; Muthén, B. O. (2006). Robust chi square difference testing with mean and variance adjusted test statistics. </w:t>
      </w:r>
      <w:r w:rsidRPr="00065B92">
        <w:rPr>
          <w:i/>
          <w:lang w:val="en-GB"/>
        </w:rPr>
        <w:t>matrix</w:t>
      </w:r>
      <w:r w:rsidRPr="003D3592">
        <w:rPr>
          <w:lang w:val="en-GB"/>
        </w:rPr>
        <w:t>, 1, 1-6.</w:t>
      </w:r>
    </w:p>
    <w:p w14:paraId="66A9E283" w14:textId="77777777" w:rsidR="003B6F96" w:rsidRDefault="003B6F96" w:rsidP="008D1EE3">
      <w:pPr>
        <w:autoSpaceDE w:val="0"/>
        <w:autoSpaceDN w:val="0"/>
        <w:adjustRightInd w:val="0"/>
        <w:spacing w:line="480" w:lineRule="auto"/>
        <w:ind w:left="706" w:hanging="706"/>
        <w:rPr>
          <w:lang w:val="en-GB"/>
        </w:rPr>
      </w:pPr>
      <w:r w:rsidRPr="00065B92">
        <w:rPr>
          <w:lang w:val="de-DE"/>
        </w:rPr>
        <w:t xml:space="preserve">Beauducel, A., &amp; Herzberg, P. Y. (2006). </w:t>
      </w:r>
      <w:r w:rsidRPr="003B6F96">
        <w:rPr>
          <w:lang w:val="en-GB"/>
        </w:rPr>
        <w:t xml:space="preserve">On the performance of maximum likelihood versus means and variance adjusted weighted least squares estimation in CFA. </w:t>
      </w:r>
      <w:r w:rsidRPr="00065B92">
        <w:rPr>
          <w:i/>
          <w:lang w:val="en-GB"/>
        </w:rPr>
        <w:t>Structural Equation Modeling</w:t>
      </w:r>
      <w:r w:rsidRPr="003B6F96">
        <w:rPr>
          <w:lang w:val="en-GB"/>
        </w:rPr>
        <w:t>, 13(2), 186-203.</w:t>
      </w:r>
      <w:r w:rsidR="00BD7733">
        <w:rPr>
          <w:lang w:val="en-GB"/>
        </w:rPr>
        <w:t xml:space="preserve"> doi:</w:t>
      </w:r>
      <w:r w:rsidR="00BD7733" w:rsidRPr="00BD7733">
        <w:t xml:space="preserve"> </w:t>
      </w:r>
      <w:r w:rsidR="00BD7733" w:rsidRPr="00BD7733">
        <w:rPr>
          <w:lang w:val="en-GB"/>
        </w:rPr>
        <w:t>10.1207/s15328007sem1302_2</w:t>
      </w:r>
    </w:p>
    <w:p w14:paraId="66A9E284" w14:textId="77777777" w:rsidR="00A26E0C" w:rsidRPr="00262711" w:rsidRDefault="00A26E0C" w:rsidP="008D1EE3">
      <w:pPr>
        <w:autoSpaceDE w:val="0"/>
        <w:autoSpaceDN w:val="0"/>
        <w:adjustRightInd w:val="0"/>
        <w:spacing w:line="480" w:lineRule="auto"/>
        <w:ind w:left="706" w:hanging="706"/>
        <w:rPr>
          <w:lang w:val="en-GB"/>
        </w:rPr>
      </w:pPr>
      <w:r w:rsidRPr="00A26E0C">
        <w:rPr>
          <w:lang w:val="en-GB"/>
        </w:rPr>
        <w:t xml:space="preserve">Beauducel, A., &amp; Wittmann, W. W. (2005). Simulation study on fit indexes in CFA based on data with slightly distorted simple structure. </w:t>
      </w:r>
      <w:r w:rsidRPr="00065B92">
        <w:rPr>
          <w:i/>
          <w:lang w:val="en-GB"/>
        </w:rPr>
        <w:t>Structural Equation Modeling</w:t>
      </w:r>
      <w:r w:rsidRPr="00A26E0C">
        <w:rPr>
          <w:lang w:val="en-GB"/>
        </w:rPr>
        <w:t>, 12(1), 41-75.</w:t>
      </w:r>
      <w:r w:rsidR="00BD7733">
        <w:rPr>
          <w:lang w:val="en-GB"/>
        </w:rPr>
        <w:t xml:space="preserve"> doi: </w:t>
      </w:r>
      <w:r w:rsidR="00BD7733" w:rsidRPr="00BD7733">
        <w:rPr>
          <w:lang w:val="en-GB"/>
        </w:rPr>
        <w:t>10.1207/s15328007sem1201_3</w:t>
      </w:r>
    </w:p>
    <w:p w14:paraId="66A9E285" w14:textId="77777777" w:rsidR="008D1EE3" w:rsidRPr="00262711" w:rsidRDefault="008D1EE3" w:rsidP="008D1EE3">
      <w:pPr>
        <w:tabs>
          <w:tab w:val="left" w:pos="720"/>
          <w:tab w:val="center" w:pos="4512"/>
        </w:tabs>
        <w:spacing w:line="480" w:lineRule="auto"/>
        <w:rPr>
          <w:i/>
          <w:lang w:val="en-GB"/>
        </w:rPr>
      </w:pPr>
      <w:r w:rsidRPr="00262711">
        <w:rPr>
          <w:lang w:val="en-GB"/>
        </w:rPr>
        <w:t xml:space="preserve">Bentler, P. M. (1990). Comparative fit indexes in structural models. </w:t>
      </w:r>
      <w:r w:rsidRPr="00262711">
        <w:rPr>
          <w:i/>
          <w:lang w:val="en-GB"/>
        </w:rPr>
        <w:t xml:space="preserve">Psychological Bulletin, </w:t>
      </w:r>
    </w:p>
    <w:p w14:paraId="66A9E286" w14:textId="161AD847" w:rsidR="008D1EE3" w:rsidRPr="00347CCA" w:rsidRDefault="008D1EE3" w:rsidP="008D1EE3">
      <w:pPr>
        <w:tabs>
          <w:tab w:val="left" w:pos="720"/>
          <w:tab w:val="center" w:pos="4512"/>
        </w:tabs>
        <w:spacing w:line="480" w:lineRule="auto"/>
        <w:rPr>
          <w:rStyle w:val="Hyperlink"/>
          <w:color w:val="auto"/>
          <w:u w:val="none"/>
          <w:lang w:val="en-GB"/>
        </w:rPr>
      </w:pPr>
      <w:r w:rsidRPr="00262711">
        <w:rPr>
          <w:i/>
          <w:lang w:val="en-GB"/>
        </w:rPr>
        <w:tab/>
      </w:r>
      <w:r w:rsidRPr="00347CCA">
        <w:rPr>
          <w:i/>
          <w:lang w:val="en-GB"/>
        </w:rPr>
        <w:t>107</w:t>
      </w:r>
      <w:r w:rsidRPr="00347CCA">
        <w:rPr>
          <w:lang w:val="en-GB"/>
        </w:rPr>
        <w:t>, 238–246. doi:</w:t>
      </w:r>
      <w:r w:rsidR="00A81131" w:rsidRPr="00347CCA">
        <w:rPr>
          <w:lang w:val="en-GB"/>
        </w:rPr>
        <w:t xml:space="preserve"> </w:t>
      </w:r>
      <w:r w:rsidRPr="00347CCA">
        <w:rPr>
          <w:lang w:val="en-GB"/>
        </w:rPr>
        <w:t>10.1037/0033-2909.107.2.238</w:t>
      </w:r>
    </w:p>
    <w:p w14:paraId="66A9E287" w14:textId="77777777" w:rsidR="008D1EE3" w:rsidRPr="00262711" w:rsidRDefault="008D1EE3" w:rsidP="008D1EE3">
      <w:pPr>
        <w:tabs>
          <w:tab w:val="left" w:pos="720"/>
          <w:tab w:val="center" w:pos="4512"/>
        </w:tabs>
        <w:spacing w:line="480" w:lineRule="auto"/>
        <w:ind w:left="720" w:hanging="720"/>
        <w:rPr>
          <w:lang w:val="en-GB"/>
        </w:rPr>
      </w:pPr>
      <w:r w:rsidRPr="00FD7229">
        <w:rPr>
          <w:lang w:val="en-GB"/>
        </w:rPr>
        <w:t xml:space="preserve">Borkenau, P., &amp; Ostendorf, F. (1993). </w:t>
      </w:r>
      <w:r w:rsidRPr="00262711">
        <w:rPr>
          <w:lang w:val="en-GB"/>
        </w:rPr>
        <w:t xml:space="preserve">NEO-Fünf-Faktoren Inventar (NEO-FFI) nach Costa und McCrae [NEO Five-Factor Personality Inventory (NEO-FFI) according Costa and McCrae]. </w:t>
      </w:r>
      <w:r w:rsidRPr="00262711">
        <w:rPr>
          <w:i/>
          <w:lang w:val="en-GB"/>
        </w:rPr>
        <w:t>Göttingen: Hogrefe.</w:t>
      </w:r>
    </w:p>
    <w:p w14:paraId="66A9E288" w14:textId="77777777" w:rsidR="008D1EE3" w:rsidRPr="00262711" w:rsidRDefault="008D1EE3" w:rsidP="008D1EE3">
      <w:pPr>
        <w:autoSpaceDE w:val="0"/>
        <w:autoSpaceDN w:val="0"/>
        <w:adjustRightInd w:val="0"/>
        <w:spacing w:line="480" w:lineRule="auto"/>
        <w:rPr>
          <w:lang w:val="en-GB"/>
        </w:rPr>
      </w:pPr>
      <w:r w:rsidRPr="00262711">
        <w:rPr>
          <w:lang w:val="en-GB"/>
        </w:rPr>
        <w:t xml:space="preserve">Carver, C. S., &amp; White, T. L. (1994). Behavioral inhibition, behavioral activation, and </w:t>
      </w:r>
    </w:p>
    <w:p w14:paraId="66A9E289" w14:textId="77777777" w:rsidR="00BA50D8" w:rsidRDefault="008D1EE3" w:rsidP="00BA50D8">
      <w:pPr>
        <w:autoSpaceDE w:val="0"/>
        <w:autoSpaceDN w:val="0"/>
        <w:adjustRightInd w:val="0"/>
        <w:spacing w:line="480" w:lineRule="auto"/>
        <w:ind w:left="720"/>
        <w:rPr>
          <w:rStyle w:val="Hyperlink"/>
          <w:color w:val="auto"/>
          <w:u w:val="none"/>
          <w:lang w:val="en-GB"/>
        </w:rPr>
      </w:pPr>
      <w:r w:rsidRPr="00262711">
        <w:rPr>
          <w:lang w:val="en-GB"/>
        </w:rPr>
        <w:t xml:space="preserve">affective responses to impending reward and punishment: The BIS/BAS scales. </w:t>
      </w:r>
      <w:r w:rsidRPr="00262711">
        <w:rPr>
          <w:i/>
          <w:iCs/>
          <w:lang w:val="en-GB"/>
        </w:rPr>
        <w:t>Journal of Personality and Social Psychology, 67,</w:t>
      </w:r>
      <w:r w:rsidRPr="00262711">
        <w:rPr>
          <w:lang w:val="en-GB"/>
        </w:rPr>
        <w:t xml:space="preserve"> 319–333. </w:t>
      </w:r>
      <w:hyperlink r:id="rId8" w:history="1">
        <w:r w:rsidRPr="00262711">
          <w:rPr>
            <w:rStyle w:val="Hyperlink"/>
            <w:color w:val="auto"/>
            <w:u w:val="none"/>
            <w:lang w:val="en-GB"/>
          </w:rPr>
          <w:t>doi:</w:t>
        </w:r>
        <w:r w:rsidR="00A81131">
          <w:rPr>
            <w:rStyle w:val="Hyperlink"/>
            <w:color w:val="auto"/>
            <w:u w:val="none"/>
            <w:lang w:val="en-GB"/>
          </w:rPr>
          <w:t xml:space="preserve"> </w:t>
        </w:r>
        <w:r w:rsidRPr="00262711">
          <w:rPr>
            <w:rStyle w:val="Hyperlink"/>
            <w:color w:val="auto"/>
            <w:u w:val="none"/>
            <w:lang w:val="en-GB"/>
          </w:rPr>
          <w:t>10.1037/0022-3514.67.2.319</w:t>
        </w:r>
      </w:hyperlink>
    </w:p>
    <w:p w14:paraId="66A9E28A" w14:textId="77777777" w:rsidR="001243D2" w:rsidRDefault="001243D2" w:rsidP="00BA50D8">
      <w:pPr>
        <w:autoSpaceDE w:val="0"/>
        <w:autoSpaceDN w:val="0"/>
        <w:adjustRightInd w:val="0"/>
        <w:spacing w:line="480" w:lineRule="auto"/>
        <w:ind w:left="720" w:hanging="720"/>
        <w:rPr>
          <w:rStyle w:val="Hyperlink"/>
          <w:color w:val="auto"/>
          <w:u w:val="none"/>
          <w:lang w:val="en-GB"/>
        </w:rPr>
      </w:pPr>
      <w:r w:rsidRPr="001243D2">
        <w:rPr>
          <w:rStyle w:val="Hyperlink"/>
          <w:color w:val="auto"/>
          <w:u w:val="none"/>
          <w:lang w:val="en-GB"/>
        </w:rPr>
        <w:t xml:space="preserve">Collins, M. D., Jackson, C. J., Walker, B. R., O’Connor, P. J., &amp; Gardiner, E. (2016). Integrating the context-appropriate balanced attention model and reinforcement </w:t>
      </w:r>
      <w:r w:rsidRPr="001243D2">
        <w:rPr>
          <w:rStyle w:val="Hyperlink"/>
          <w:color w:val="auto"/>
          <w:u w:val="none"/>
          <w:lang w:val="en-GB"/>
        </w:rPr>
        <w:lastRenderedPageBreak/>
        <w:t xml:space="preserve">sensitivity theory: Towards a domain-general personality process model. </w:t>
      </w:r>
      <w:r w:rsidRPr="001243D2">
        <w:rPr>
          <w:rStyle w:val="Hyperlink"/>
          <w:i/>
          <w:color w:val="auto"/>
          <w:u w:val="none"/>
          <w:lang w:val="en-GB"/>
        </w:rPr>
        <w:t>Psychological Bulletin,</w:t>
      </w:r>
      <w:r w:rsidRPr="001243D2">
        <w:rPr>
          <w:rStyle w:val="Hyperlink"/>
          <w:color w:val="auto"/>
          <w:u w:val="none"/>
          <w:lang w:val="en-GB"/>
        </w:rPr>
        <w:t xml:space="preserve"> published online: Nov 28. doi:</w:t>
      </w:r>
      <w:r w:rsidR="00A81131">
        <w:rPr>
          <w:rStyle w:val="Hyperlink"/>
          <w:color w:val="auto"/>
          <w:u w:val="none"/>
          <w:lang w:val="en-GB"/>
        </w:rPr>
        <w:t xml:space="preserve"> </w:t>
      </w:r>
      <w:r w:rsidRPr="001243D2">
        <w:rPr>
          <w:rStyle w:val="Hyperlink"/>
          <w:color w:val="auto"/>
          <w:u w:val="none"/>
          <w:lang w:val="en-GB"/>
        </w:rPr>
        <w:t>10.1037/bul0000082</w:t>
      </w:r>
    </w:p>
    <w:p w14:paraId="66A9E28B" w14:textId="77777777" w:rsidR="00531EB8" w:rsidRPr="00262711" w:rsidRDefault="00531EB8" w:rsidP="00531EB8">
      <w:pPr>
        <w:autoSpaceDE w:val="0"/>
        <w:autoSpaceDN w:val="0"/>
        <w:adjustRightInd w:val="0"/>
        <w:spacing w:line="480" w:lineRule="auto"/>
        <w:rPr>
          <w:rStyle w:val="Hyperlink"/>
          <w:color w:val="auto"/>
          <w:u w:val="none"/>
          <w:lang w:val="en-GB"/>
        </w:rPr>
      </w:pPr>
      <w:r w:rsidRPr="00262711">
        <w:rPr>
          <w:rStyle w:val="Hyperlink"/>
          <w:color w:val="auto"/>
          <w:u w:val="none"/>
          <w:lang w:val="en-GB"/>
        </w:rPr>
        <w:t xml:space="preserve">Corr, P. J. (2016). Reinforcement sensitivity theory of personality questionnaires: Structural </w:t>
      </w:r>
    </w:p>
    <w:p w14:paraId="66A9E28C" w14:textId="77777777" w:rsidR="00BA50D8" w:rsidRDefault="00BA50D8" w:rsidP="00BA50D8">
      <w:pPr>
        <w:pStyle w:val="CitaviBibliographyEntry"/>
        <w:ind w:left="0" w:firstLine="0"/>
        <w:rPr>
          <w:rStyle w:val="Hyperlink"/>
          <w:color w:val="auto"/>
          <w:u w:val="none"/>
          <w:lang w:val="en-GB"/>
        </w:rPr>
      </w:pPr>
      <w:r>
        <w:rPr>
          <w:rStyle w:val="Hyperlink"/>
          <w:color w:val="auto"/>
          <w:u w:val="none"/>
          <w:lang w:val="en-GB"/>
        </w:rPr>
        <w:tab/>
      </w:r>
      <w:r>
        <w:rPr>
          <w:rStyle w:val="Hyperlink"/>
          <w:color w:val="auto"/>
          <w:u w:val="none"/>
          <w:lang w:val="en-GB"/>
        </w:rPr>
        <w:tab/>
      </w:r>
      <w:r w:rsidR="00531EB8" w:rsidRPr="00262711">
        <w:rPr>
          <w:rStyle w:val="Hyperlink"/>
          <w:color w:val="auto"/>
          <w:u w:val="none"/>
          <w:lang w:val="en-GB"/>
        </w:rPr>
        <w:t xml:space="preserve">survey with recommendations. </w:t>
      </w:r>
      <w:r w:rsidR="00531EB8" w:rsidRPr="00262711">
        <w:rPr>
          <w:rStyle w:val="Hyperlink"/>
          <w:i/>
          <w:color w:val="auto"/>
          <w:u w:val="none"/>
          <w:lang w:val="en-GB"/>
        </w:rPr>
        <w:t>Personality and Individual Differences</w:t>
      </w:r>
      <w:r w:rsidR="00531EB8" w:rsidRPr="00262711">
        <w:rPr>
          <w:rStyle w:val="Hyperlink"/>
          <w:color w:val="auto"/>
          <w:u w:val="none"/>
          <w:lang w:val="en-GB"/>
        </w:rPr>
        <w:t>, 89, 60-64.</w:t>
      </w:r>
    </w:p>
    <w:p w14:paraId="66A9E28D" w14:textId="77777777" w:rsidR="008D1EE3" w:rsidRPr="00BA50D8" w:rsidRDefault="008D1EE3" w:rsidP="00BA50D8">
      <w:pPr>
        <w:pStyle w:val="CitaviBibliographyEntry"/>
        <w:rPr>
          <w:rStyle w:val="Hyperlink"/>
          <w:rFonts w:cstheme="minorBidi"/>
          <w:color w:val="auto"/>
          <w:u w:val="none"/>
          <w:lang w:val="en-GB"/>
        </w:rPr>
      </w:pPr>
      <w:r w:rsidRPr="00262711">
        <w:rPr>
          <w:rStyle w:val="Hyperlink"/>
          <w:color w:val="auto"/>
          <w:u w:val="none"/>
          <w:lang w:val="en-GB"/>
        </w:rPr>
        <w:t xml:space="preserve">Corr, P. J., &amp; Cooper, A. J. (2016). The Reinforcement Sensitivity Theory of Personality Questionnaire (RST-PQ): Development and </w:t>
      </w:r>
      <w:r w:rsidR="00A5411F">
        <w:rPr>
          <w:rStyle w:val="Hyperlink"/>
          <w:color w:val="auto"/>
          <w:u w:val="none"/>
          <w:lang w:val="en-GB"/>
        </w:rPr>
        <w:t>v</w:t>
      </w:r>
      <w:r w:rsidRPr="00262711">
        <w:rPr>
          <w:rStyle w:val="Hyperlink"/>
          <w:color w:val="auto"/>
          <w:u w:val="none"/>
          <w:lang w:val="en-GB"/>
        </w:rPr>
        <w:t xml:space="preserve">alidation. </w:t>
      </w:r>
      <w:r w:rsidRPr="00BA50D8">
        <w:rPr>
          <w:rStyle w:val="Hyperlink"/>
          <w:i/>
          <w:color w:val="auto"/>
          <w:u w:val="none"/>
          <w:lang w:val="en-GB"/>
        </w:rPr>
        <w:t>Psychological Assessment</w:t>
      </w:r>
      <w:r w:rsidR="006E38B1" w:rsidRPr="00BA50D8">
        <w:rPr>
          <w:rStyle w:val="Hyperlink"/>
          <w:color w:val="auto"/>
          <w:u w:val="none"/>
          <w:lang w:val="en-US"/>
        </w:rPr>
        <w:t>, 28(11), 1427–1440. doi:</w:t>
      </w:r>
      <w:r w:rsidR="00A81131">
        <w:rPr>
          <w:rStyle w:val="Hyperlink"/>
          <w:color w:val="auto"/>
          <w:u w:val="none"/>
          <w:lang w:val="en-US"/>
        </w:rPr>
        <w:t xml:space="preserve"> </w:t>
      </w:r>
      <w:r w:rsidR="006E38B1" w:rsidRPr="00BA50D8">
        <w:rPr>
          <w:rStyle w:val="Hyperlink"/>
          <w:color w:val="auto"/>
          <w:u w:val="none"/>
          <w:lang w:val="en-US"/>
        </w:rPr>
        <w:t xml:space="preserve">10.1037/pas0000273 </w:t>
      </w:r>
    </w:p>
    <w:p w14:paraId="66A9E28E" w14:textId="77777777" w:rsidR="008D1EE3" w:rsidRPr="00262711" w:rsidRDefault="008D1EE3" w:rsidP="008D1EE3">
      <w:pPr>
        <w:autoSpaceDE w:val="0"/>
        <w:autoSpaceDN w:val="0"/>
        <w:adjustRightInd w:val="0"/>
        <w:spacing w:line="480" w:lineRule="auto"/>
        <w:rPr>
          <w:lang w:val="en-GB"/>
        </w:rPr>
      </w:pPr>
      <w:r w:rsidRPr="00262711">
        <w:rPr>
          <w:lang w:val="en-GB"/>
        </w:rPr>
        <w:t xml:space="preserve">Corr, P. J., &amp; McNaughton, N. (2012). Neuroscience and approach/avoidance personality </w:t>
      </w:r>
    </w:p>
    <w:p w14:paraId="66A9E28F" w14:textId="77777777" w:rsidR="008D1EE3" w:rsidRPr="00262711" w:rsidRDefault="008D1EE3" w:rsidP="008D1EE3">
      <w:pPr>
        <w:autoSpaceDE w:val="0"/>
        <w:autoSpaceDN w:val="0"/>
        <w:adjustRightInd w:val="0"/>
        <w:spacing w:line="480" w:lineRule="auto"/>
        <w:ind w:left="720"/>
        <w:rPr>
          <w:rStyle w:val="Hyperlink"/>
          <w:color w:val="auto"/>
          <w:u w:val="none"/>
          <w:lang w:val="en-GB"/>
        </w:rPr>
      </w:pPr>
      <w:r w:rsidRPr="00262711">
        <w:rPr>
          <w:lang w:val="en-GB"/>
        </w:rPr>
        <w:t xml:space="preserve">traits: A two stage (valuation–motivation) approach. </w:t>
      </w:r>
      <w:r w:rsidRPr="00262711">
        <w:rPr>
          <w:i/>
          <w:iCs/>
          <w:lang w:val="en-GB"/>
        </w:rPr>
        <w:t>Neuroscience and Biobehavioral Reviews</w:t>
      </w:r>
      <w:r w:rsidRPr="00262711">
        <w:rPr>
          <w:lang w:val="en-GB"/>
        </w:rPr>
        <w:t xml:space="preserve">, </w:t>
      </w:r>
      <w:r w:rsidRPr="00262711">
        <w:rPr>
          <w:i/>
          <w:iCs/>
          <w:lang w:val="en-GB"/>
        </w:rPr>
        <w:t>36</w:t>
      </w:r>
      <w:r w:rsidRPr="00262711">
        <w:rPr>
          <w:lang w:val="en-GB"/>
        </w:rPr>
        <w:t xml:space="preserve">, 2339–2354. </w:t>
      </w:r>
      <w:hyperlink r:id="rId9" w:history="1">
        <w:r w:rsidRPr="00262711">
          <w:rPr>
            <w:rStyle w:val="Hyperlink"/>
            <w:color w:val="auto"/>
            <w:u w:val="none"/>
            <w:lang w:val="en-GB"/>
          </w:rPr>
          <w:t>doi:</w:t>
        </w:r>
        <w:r w:rsidR="00A81131">
          <w:rPr>
            <w:rStyle w:val="Hyperlink"/>
            <w:color w:val="auto"/>
            <w:u w:val="none"/>
            <w:lang w:val="en-GB"/>
          </w:rPr>
          <w:t xml:space="preserve"> </w:t>
        </w:r>
        <w:r w:rsidRPr="00262711">
          <w:rPr>
            <w:rStyle w:val="Hyperlink"/>
            <w:color w:val="auto"/>
            <w:u w:val="none"/>
            <w:lang w:val="en-GB"/>
          </w:rPr>
          <w:t>10.1016/j.neubiorev.2012.09.013</w:t>
        </w:r>
      </w:hyperlink>
    </w:p>
    <w:p w14:paraId="66A9E290" w14:textId="4FFC6ED9" w:rsidR="008D1EE3" w:rsidRDefault="008D1EE3" w:rsidP="008D1EE3">
      <w:pPr>
        <w:tabs>
          <w:tab w:val="left" w:pos="795"/>
        </w:tabs>
        <w:spacing w:line="480" w:lineRule="auto"/>
        <w:ind w:left="720" w:hanging="720"/>
        <w:rPr>
          <w:lang w:val="en-GB"/>
        </w:rPr>
      </w:pPr>
      <w:r w:rsidRPr="00262711">
        <w:rPr>
          <w:lang w:val="en-GB"/>
        </w:rPr>
        <w:t xml:space="preserve">Costa, P. T., &amp; McCrae, R. R. (1992). </w:t>
      </w:r>
      <w:r w:rsidRPr="00262711">
        <w:rPr>
          <w:i/>
          <w:lang w:val="en-GB"/>
        </w:rPr>
        <w:t xml:space="preserve">Professional manual: </w:t>
      </w:r>
      <w:r w:rsidR="004B141F" w:rsidRPr="00262711">
        <w:rPr>
          <w:i/>
          <w:lang w:val="en-GB"/>
        </w:rPr>
        <w:t>R</w:t>
      </w:r>
      <w:r w:rsidRPr="00262711">
        <w:rPr>
          <w:i/>
          <w:lang w:val="en-GB"/>
        </w:rPr>
        <w:t xml:space="preserve">evised NEO personality inventory (NEO-PI-R) and NEO five-factor inventory (NEO-FFI). </w:t>
      </w:r>
      <w:r w:rsidRPr="00262711">
        <w:rPr>
          <w:lang w:val="en-GB"/>
        </w:rPr>
        <w:t>Odessa, FL: Psychological Assessment Resources, 61.</w:t>
      </w:r>
    </w:p>
    <w:p w14:paraId="22354D8E" w14:textId="0E261921" w:rsidR="00347CCA" w:rsidRPr="00262711" w:rsidRDefault="00347CCA" w:rsidP="008D1EE3">
      <w:pPr>
        <w:tabs>
          <w:tab w:val="left" w:pos="795"/>
        </w:tabs>
        <w:spacing w:line="480" w:lineRule="auto"/>
        <w:ind w:left="720" w:hanging="720"/>
        <w:rPr>
          <w:lang w:val="en-GB"/>
        </w:rPr>
      </w:pPr>
      <w:r w:rsidRPr="00347CCA">
        <w:rPr>
          <w:lang w:val="en-GB"/>
        </w:rPr>
        <w:t xml:space="preserve">Curran, P. J., West, S. G., &amp; Finch, J. F. (1996). The robustness of test statistics to nonnormality and specification error in confirmatory factor analysis. </w:t>
      </w:r>
      <w:r w:rsidRPr="00347CCA">
        <w:rPr>
          <w:i/>
          <w:lang w:val="en-GB"/>
        </w:rPr>
        <w:t>Psychological methods</w:t>
      </w:r>
      <w:r w:rsidRPr="00347CCA">
        <w:rPr>
          <w:lang w:val="en-GB"/>
        </w:rPr>
        <w:t>, 1(1), 16. doi: 10.1037/1082-989X.1.1.16</w:t>
      </w:r>
    </w:p>
    <w:p w14:paraId="66A9E291" w14:textId="77777777" w:rsidR="008D1EE3" w:rsidRPr="00262711" w:rsidRDefault="008D1EE3" w:rsidP="008D1EE3">
      <w:pPr>
        <w:pStyle w:val="articledetails"/>
        <w:spacing w:before="0" w:beforeAutospacing="0" w:after="0" w:afterAutospacing="0" w:line="480" w:lineRule="auto"/>
        <w:rPr>
          <w:i/>
          <w:iCs/>
        </w:rPr>
      </w:pPr>
      <w:r w:rsidRPr="00262711">
        <w:t xml:space="preserve">Gray, J. A. (1982). </w:t>
      </w:r>
      <w:r w:rsidRPr="00262711">
        <w:rPr>
          <w:i/>
          <w:iCs/>
        </w:rPr>
        <w:t xml:space="preserve">The neuropsychology of anxiety: An enquiry into the functions of the </w:t>
      </w:r>
    </w:p>
    <w:p w14:paraId="66A9E292" w14:textId="77777777" w:rsidR="008D1EE3" w:rsidRPr="00262711" w:rsidRDefault="008D1EE3" w:rsidP="008D1EE3">
      <w:pPr>
        <w:tabs>
          <w:tab w:val="left" w:pos="795"/>
        </w:tabs>
        <w:spacing w:line="480" w:lineRule="auto"/>
        <w:ind w:left="720" w:hanging="720"/>
        <w:rPr>
          <w:lang w:val="en-GB"/>
        </w:rPr>
      </w:pPr>
      <w:r w:rsidRPr="00262711">
        <w:rPr>
          <w:i/>
          <w:iCs/>
          <w:lang w:val="en-GB"/>
        </w:rPr>
        <w:tab/>
        <w:t>septo-hippocampal system.</w:t>
      </w:r>
      <w:r w:rsidRPr="00262711">
        <w:rPr>
          <w:lang w:val="en-GB"/>
        </w:rPr>
        <w:t xml:space="preserve"> Oxford: Oxford University Press.</w:t>
      </w:r>
    </w:p>
    <w:p w14:paraId="66A9E293" w14:textId="77777777" w:rsidR="008D1EE3" w:rsidRPr="00262711" w:rsidRDefault="008D1EE3" w:rsidP="008D1EE3">
      <w:pPr>
        <w:autoSpaceDE w:val="0"/>
        <w:autoSpaceDN w:val="0"/>
        <w:adjustRightInd w:val="0"/>
        <w:spacing w:line="480" w:lineRule="auto"/>
        <w:rPr>
          <w:i/>
          <w:iCs/>
          <w:lang w:val="en-GB"/>
        </w:rPr>
      </w:pPr>
      <w:r w:rsidRPr="00262711">
        <w:rPr>
          <w:lang w:val="en-GB"/>
        </w:rPr>
        <w:t xml:space="preserve">Gray, J. A., &amp; McNaughton, N. (2000). </w:t>
      </w:r>
      <w:r w:rsidRPr="00262711">
        <w:rPr>
          <w:i/>
          <w:iCs/>
          <w:lang w:val="en-GB"/>
        </w:rPr>
        <w:t xml:space="preserve">The neuropsychology of anxiety: An enquiry into the </w:t>
      </w:r>
    </w:p>
    <w:p w14:paraId="66A9E294" w14:textId="77777777" w:rsidR="008D1EE3" w:rsidRPr="00262711" w:rsidRDefault="008D1EE3" w:rsidP="008D1EE3">
      <w:pPr>
        <w:autoSpaceDE w:val="0"/>
        <w:autoSpaceDN w:val="0"/>
        <w:adjustRightInd w:val="0"/>
        <w:spacing w:line="480" w:lineRule="auto"/>
        <w:ind w:firstLine="720"/>
        <w:rPr>
          <w:lang w:val="en-GB"/>
        </w:rPr>
      </w:pPr>
      <w:r w:rsidRPr="00262711">
        <w:rPr>
          <w:i/>
          <w:iCs/>
          <w:lang w:val="en-GB"/>
        </w:rPr>
        <w:t>functions of the septo-hippocampal system</w:t>
      </w:r>
      <w:r w:rsidRPr="00262711">
        <w:rPr>
          <w:lang w:val="en-GB"/>
        </w:rPr>
        <w:t xml:space="preserve"> (2nd ed). Oxford: Oxford University Press.</w:t>
      </w:r>
    </w:p>
    <w:p w14:paraId="66A9E295" w14:textId="77777777" w:rsidR="008D1EE3" w:rsidRPr="00262711" w:rsidRDefault="008D1EE3" w:rsidP="008D1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lang w:val="en-GB"/>
        </w:rPr>
      </w:pPr>
      <w:r w:rsidRPr="00262711">
        <w:rPr>
          <w:lang w:val="en-GB"/>
        </w:rPr>
        <w:t xml:space="preserve">Jackson, C. J. (2009). Jackson-5 scales of revised Reinforcement Sensitivity Theory (r-RST) </w:t>
      </w:r>
    </w:p>
    <w:p w14:paraId="66A9E296" w14:textId="77777777" w:rsidR="008D1EE3" w:rsidRPr="00BA50D8" w:rsidRDefault="008D1EE3" w:rsidP="008D1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lang w:val="de-DE"/>
        </w:rPr>
      </w:pPr>
      <w:r w:rsidRPr="00262711">
        <w:rPr>
          <w:lang w:val="en-GB"/>
        </w:rPr>
        <w:t xml:space="preserve">and their application to dysfunctional real world outcomes. </w:t>
      </w:r>
      <w:r w:rsidRPr="00262711">
        <w:rPr>
          <w:i/>
          <w:iCs/>
          <w:lang w:val="en-GB"/>
        </w:rPr>
        <w:t>Journal of Research in Personality, 43</w:t>
      </w:r>
      <w:r w:rsidRPr="00262711">
        <w:rPr>
          <w:lang w:val="en-GB"/>
        </w:rPr>
        <w:t xml:space="preserve">, 556–569. </w:t>
      </w:r>
      <w:hyperlink r:id="rId10" w:history="1">
        <w:r w:rsidRPr="00BA50D8">
          <w:rPr>
            <w:rStyle w:val="Hyperlink"/>
            <w:color w:val="auto"/>
            <w:u w:val="none"/>
            <w:lang w:val="de-DE"/>
          </w:rPr>
          <w:t>doi:</w:t>
        </w:r>
        <w:r w:rsidR="00A81131">
          <w:rPr>
            <w:rStyle w:val="Hyperlink"/>
            <w:color w:val="auto"/>
            <w:u w:val="none"/>
            <w:lang w:val="de-DE"/>
          </w:rPr>
          <w:t xml:space="preserve"> </w:t>
        </w:r>
        <w:r w:rsidRPr="00BA50D8">
          <w:rPr>
            <w:rStyle w:val="Hyperlink"/>
            <w:color w:val="auto"/>
            <w:u w:val="none"/>
            <w:lang w:val="de-DE"/>
          </w:rPr>
          <w:t>10.1016/j.jrp.2009.02.007</w:t>
        </w:r>
      </w:hyperlink>
    </w:p>
    <w:p w14:paraId="66A9E297" w14:textId="77777777" w:rsidR="008D1EE3" w:rsidRPr="00262711" w:rsidRDefault="008D1EE3" w:rsidP="008D1EE3">
      <w:pPr>
        <w:autoSpaceDE w:val="0"/>
        <w:autoSpaceDN w:val="0"/>
        <w:adjustRightInd w:val="0"/>
        <w:spacing w:line="480" w:lineRule="auto"/>
        <w:ind w:left="706" w:hanging="706"/>
        <w:rPr>
          <w:lang w:val="en-GB"/>
        </w:rPr>
      </w:pPr>
      <w:r w:rsidRPr="00BA50D8">
        <w:rPr>
          <w:lang w:val="de-DE"/>
        </w:rPr>
        <w:t xml:space="preserve">Laux, L., &amp; Spielberger, C. D. (1981). Das State-Trait-Angstinventar: </w:t>
      </w:r>
      <w:r w:rsidRPr="00BA50D8">
        <w:rPr>
          <w:i/>
          <w:lang w:val="de-DE"/>
        </w:rPr>
        <w:t>STAI</w:t>
      </w:r>
      <w:r w:rsidRPr="00BA50D8">
        <w:rPr>
          <w:lang w:val="de-DE"/>
        </w:rPr>
        <w:t xml:space="preserve">. </w:t>
      </w:r>
      <w:r w:rsidRPr="00262711">
        <w:rPr>
          <w:lang w:val="en-GB"/>
        </w:rPr>
        <w:t>Weinheim: Beltz.</w:t>
      </w:r>
    </w:p>
    <w:p w14:paraId="66A9E298" w14:textId="77777777" w:rsidR="008D1EE3" w:rsidRPr="00262711" w:rsidRDefault="008D1EE3" w:rsidP="008D1EE3">
      <w:pPr>
        <w:autoSpaceDE w:val="0"/>
        <w:autoSpaceDN w:val="0"/>
        <w:adjustRightInd w:val="0"/>
        <w:spacing w:line="480" w:lineRule="auto"/>
        <w:rPr>
          <w:color w:val="231F20"/>
          <w:lang w:val="en-GB"/>
        </w:rPr>
      </w:pPr>
      <w:r w:rsidRPr="00262711">
        <w:rPr>
          <w:color w:val="231F20"/>
          <w:lang w:val="en-GB"/>
        </w:rPr>
        <w:t xml:space="preserve">McNaughton, N., &amp; Corr, P. J. (2004). A two-dimensional neuropsychology of defense: </w:t>
      </w:r>
    </w:p>
    <w:p w14:paraId="66A9E299" w14:textId="77777777" w:rsidR="008D1EE3" w:rsidRPr="00262711" w:rsidRDefault="008D1EE3" w:rsidP="008D1EE3">
      <w:pPr>
        <w:autoSpaceDE w:val="0"/>
        <w:autoSpaceDN w:val="0"/>
        <w:adjustRightInd w:val="0"/>
        <w:spacing w:line="480" w:lineRule="auto"/>
        <w:ind w:left="720"/>
        <w:rPr>
          <w:color w:val="231F20"/>
          <w:lang w:val="en-GB"/>
        </w:rPr>
      </w:pPr>
      <w:r w:rsidRPr="00262711">
        <w:rPr>
          <w:color w:val="231F20"/>
          <w:lang w:val="en-GB"/>
        </w:rPr>
        <w:t xml:space="preserve">Fear/anxiety and defensive distance. </w:t>
      </w:r>
      <w:r w:rsidRPr="00262711">
        <w:rPr>
          <w:i/>
          <w:iCs/>
          <w:color w:val="231F20"/>
          <w:lang w:val="en-GB"/>
        </w:rPr>
        <w:t>Neuroscience and Biobehavioral Reviews, 28</w:t>
      </w:r>
      <w:r w:rsidRPr="00262711">
        <w:rPr>
          <w:color w:val="231F20"/>
          <w:lang w:val="en-GB"/>
        </w:rPr>
        <w:t>, 285–305.</w:t>
      </w:r>
      <w:r w:rsidRPr="00262711">
        <w:rPr>
          <w:lang w:val="en-GB"/>
        </w:rPr>
        <w:t xml:space="preserve"> </w:t>
      </w:r>
      <w:hyperlink r:id="rId11" w:history="1">
        <w:r w:rsidRPr="00262711">
          <w:rPr>
            <w:rStyle w:val="Hyperlink"/>
            <w:color w:val="auto"/>
            <w:u w:val="none"/>
            <w:lang w:val="en-GB"/>
          </w:rPr>
          <w:t>doi:</w:t>
        </w:r>
        <w:r w:rsidR="00A81131">
          <w:rPr>
            <w:rStyle w:val="Hyperlink"/>
            <w:color w:val="auto"/>
            <w:u w:val="none"/>
            <w:lang w:val="en-GB"/>
          </w:rPr>
          <w:t xml:space="preserve"> </w:t>
        </w:r>
        <w:r w:rsidRPr="00262711">
          <w:rPr>
            <w:rStyle w:val="Hyperlink"/>
            <w:color w:val="auto"/>
            <w:u w:val="none"/>
            <w:lang w:val="en-GB"/>
          </w:rPr>
          <w:t>10.1016/j.neubiorev.2004.03.005</w:t>
        </w:r>
      </w:hyperlink>
    </w:p>
    <w:p w14:paraId="66A9E29A" w14:textId="77777777" w:rsidR="008D1EE3" w:rsidRPr="00262711" w:rsidRDefault="008D1EE3" w:rsidP="008D1EE3">
      <w:pPr>
        <w:pStyle w:val="PlainText"/>
        <w:spacing w:line="480" w:lineRule="auto"/>
        <w:rPr>
          <w:rFonts w:ascii="Times New Roman" w:hAnsi="Times New Roman"/>
          <w:color w:val="231F20"/>
          <w:sz w:val="24"/>
          <w:szCs w:val="24"/>
          <w:lang w:val="en-GB"/>
        </w:rPr>
      </w:pPr>
      <w:r w:rsidRPr="00262711">
        <w:rPr>
          <w:rFonts w:ascii="Times New Roman" w:hAnsi="Times New Roman"/>
          <w:color w:val="231F20"/>
          <w:sz w:val="24"/>
          <w:szCs w:val="24"/>
          <w:lang w:val="en-GB"/>
        </w:rPr>
        <w:lastRenderedPageBreak/>
        <w:t xml:space="preserve">McNaughton, N., &amp; Corr, P. J. (2008). The neuropsychology of fear and anxiety: A </w:t>
      </w:r>
    </w:p>
    <w:p w14:paraId="66A9E29B" w14:textId="77777777" w:rsidR="008D1EE3" w:rsidRPr="00262711" w:rsidRDefault="008D1EE3" w:rsidP="008D1EE3">
      <w:pPr>
        <w:pStyle w:val="PlainText"/>
        <w:spacing w:line="480" w:lineRule="auto"/>
        <w:ind w:firstLine="720"/>
        <w:rPr>
          <w:rFonts w:ascii="Times New Roman" w:hAnsi="Times New Roman"/>
          <w:i/>
          <w:iCs/>
          <w:color w:val="231F20"/>
          <w:sz w:val="24"/>
          <w:szCs w:val="24"/>
          <w:lang w:val="en-GB"/>
        </w:rPr>
      </w:pPr>
      <w:r w:rsidRPr="00262711">
        <w:rPr>
          <w:rFonts w:ascii="Times New Roman" w:hAnsi="Times New Roman"/>
          <w:color w:val="231F20"/>
          <w:sz w:val="24"/>
          <w:szCs w:val="24"/>
          <w:lang w:val="en-GB"/>
        </w:rPr>
        <w:t xml:space="preserve">foundation for Reinforcement Sensitivity Theory. In P. J. Corr (Ed), </w:t>
      </w:r>
      <w:r w:rsidRPr="00262711">
        <w:rPr>
          <w:rFonts w:ascii="Times New Roman" w:hAnsi="Times New Roman"/>
          <w:i/>
          <w:iCs/>
          <w:color w:val="231F20"/>
          <w:sz w:val="24"/>
          <w:szCs w:val="24"/>
          <w:lang w:val="en-GB"/>
        </w:rPr>
        <w:t xml:space="preserve">The </w:t>
      </w:r>
    </w:p>
    <w:p w14:paraId="66A9E29C" w14:textId="6CD93FF0" w:rsidR="008D1EE3" w:rsidRDefault="008D1EE3" w:rsidP="008D1EE3">
      <w:pPr>
        <w:pStyle w:val="PlainText"/>
        <w:spacing w:line="480" w:lineRule="auto"/>
        <w:ind w:left="720"/>
        <w:rPr>
          <w:rFonts w:ascii="Times New Roman" w:hAnsi="Times New Roman"/>
          <w:sz w:val="24"/>
          <w:szCs w:val="24"/>
          <w:lang w:val="en-GB"/>
        </w:rPr>
      </w:pPr>
      <w:r w:rsidRPr="00262711">
        <w:rPr>
          <w:rFonts w:ascii="Times New Roman" w:hAnsi="Times New Roman"/>
          <w:i/>
          <w:iCs/>
          <w:color w:val="231F20"/>
          <w:sz w:val="24"/>
          <w:szCs w:val="24"/>
          <w:lang w:val="en-GB"/>
        </w:rPr>
        <w:t>reinforcement sensitivity theory of personality</w:t>
      </w:r>
      <w:r w:rsidRPr="00262711">
        <w:rPr>
          <w:rFonts w:ascii="Times New Roman" w:hAnsi="Times New Roman"/>
          <w:color w:val="231F20"/>
          <w:sz w:val="24"/>
          <w:szCs w:val="24"/>
          <w:lang w:val="en-GB"/>
        </w:rPr>
        <w:t xml:space="preserve"> (pp. 44–94). Cambridge: Cambridge University Press.</w:t>
      </w:r>
      <w:r w:rsidRPr="00262711">
        <w:rPr>
          <w:rFonts w:ascii="Times New Roman" w:hAnsi="Times New Roman"/>
          <w:sz w:val="24"/>
          <w:szCs w:val="24"/>
          <w:lang w:val="en-GB"/>
        </w:rPr>
        <w:t xml:space="preserve"> </w:t>
      </w:r>
    </w:p>
    <w:p w14:paraId="6576CF60" w14:textId="555B060D" w:rsidR="00FD7229" w:rsidRPr="00D0249B" w:rsidRDefault="00FD7229" w:rsidP="00FD7229">
      <w:pPr>
        <w:autoSpaceDE w:val="0"/>
        <w:autoSpaceDN w:val="0"/>
        <w:adjustRightInd w:val="0"/>
        <w:spacing w:line="480" w:lineRule="auto"/>
        <w:ind w:left="706" w:hanging="706"/>
        <w:rPr>
          <w:lang w:val="de-DE"/>
        </w:rPr>
      </w:pPr>
      <w:r w:rsidRPr="00971F38">
        <w:t>Muth</w:t>
      </w:r>
      <w:r>
        <w:t>é</w:t>
      </w:r>
      <w:r w:rsidRPr="00971F38">
        <w:t>n, B. O. (1989). Latent variable modeling in heterogeneous populations.</w:t>
      </w:r>
      <w:r>
        <w:t xml:space="preserve"> </w:t>
      </w:r>
      <w:r w:rsidRPr="00D0249B">
        <w:rPr>
          <w:i/>
          <w:lang w:val="de-DE"/>
        </w:rPr>
        <w:t>Psychometrika, 54</w:t>
      </w:r>
      <w:r w:rsidRPr="00D0249B">
        <w:rPr>
          <w:lang w:val="de-DE"/>
        </w:rPr>
        <w:t>, 557–585. doi: 10.1007/BF02296397</w:t>
      </w:r>
    </w:p>
    <w:p w14:paraId="66A9E29D" w14:textId="77777777" w:rsidR="00F6438B" w:rsidRPr="00262711" w:rsidRDefault="00F6438B" w:rsidP="00F6438B">
      <w:pPr>
        <w:autoSpaceDE w:val="0"/>
        <w:autoSpaceDN w:val="0"/>
        <w:adjustRightInd w:val="0"/>
        <w:spacing w:line="480" w:lineRule="auto"/>
        <w:ind w:left="706" w:hanging="706"/>
        <w:rPr>
          <w:lang w:val="en-GB"/>
        </w:rPr>
      </w:pPr>
      <w:r w:rsidRPr="00D0249B">
        <w:rPr>
          <w:lang w:val="de-DE"/>
        </w:rPr>
        <w:t xml:space="preserve">Muthén, L. K., &amp; Muthén, B. O. (2012). </w:t>
      </w:r>
      <w:r w:rsidRPr="00D0249B">
        <w:rPr>
          <w:i/>
          <w:lang w:val="de-DE"/>
        </w:rPr>
        <w:t xml:space="preserve">MPLUS (7). </w:t>
      </w:r>
      <w:r w:rsidRPr="00262711">
        <w:rPr>
          <w:lang w:val="en-GB"/>
        </w:rPr>
        <w:t xml:space="preserve">Los Angeles: Muthén &amp; Muthén. </w:t>
      </w:r>
    </w:p>
    <w:p w14:paraId="66A9E29E" w14:textId="77777777" w:rsidR="008D1EE3" w:rsidRDefault="008D1EE3" w:rsidP="008D1EE3">
      <w:pPr>
        <w:autoSpaceDE w:val="0"/>
        <w:autoSpaceDN w:val="0"/>
        <w:adjustRightInd w:val="0"/>
        <w:spacing w:line="480" w:lineRule="auto"/>
        <w:ind w:left="706" w:hanging="706"/>
        <w:rPr>
          <w:lang w:val="en-GB"/>
        </w:rPr>
      </w:pPr>
      <w:r w:rsidRPr="00262711">
        <w:rPr>
          <w:lang w:val="en-GB"/>
        </w:rPr>
        <w:t xml:space="preserve">Patton, J. H., &amp; Stanford, M. S. (1995). Factor structure of the Barratt impulsiveness scale. </w:t>
      </w:r>
      <w:r w:rsidRPr="00262711">
        <w:rPr>
          <w:i/>
          <w:lang w:val="en-GB"/>
        </w:rPr>
        <w:t>Journal of Clinical Psychology</w:t>
      </w:r>
      <w:r w:rsidRPr="00262711">
        <w:rPr>
          <w:lang w:val="en-GB"/>
        </w:rPr>
        <w:t>, 51, 768-774.</w:t>
      </w:r>
    </w:p>
    <w:p w14:paraId="66A9E29F" w14:textId="77777777" w:rsidR="0006442C" w:rsidRPr="00262711" w:rsidRDefault="0006442C" w:rsidP="008D1EE3">
      <w:pPr>
        <w:autoSpaceDE w:val="0"/>
        <w:autoSpaceDN w:val="0"/>
        <w:adjustRightInd w:val="0"/>
        <w:spacing w:line="480" w:lineRule="auto"/>
        <w:ind w:left="706" w:hanging="706"/>
        <w:rPr>
          <w:lang w:val="en-GB"/>
        </w:rPr>
      </w:pPr>
      <w:r w:rsidRPr="0006442C">
        <w:rPr>
          <w:lang w:val="en-GB"/>
        </w:rPr>
        <w:t xml:space="preserve">Perkins, A. M., Ettinger, U., Davis, R., Foster, R., Williams, S. C., &amp; Corr, P. J. (2009). Effects of lorazepam and citalopram on human defensive reactions: </w:t>
      </w:r>
      <w:r w:rsidR="00A5411F">
        <w:rPr>
          <w:lang w:val="en-GB"/>
        </w:rPr>
        <w:t>E</w:t>
      </w:r>
      <w:r w:rsidRPr="0006442C">
        <w:rPr>
          <w:lang w:val="en-GB"/>
        </w:rPr>
        <w:t xml:space="preserve">thopharmacological differentiation of fear and anxiety. </w:t>
      </w:r>
      <w:r w:rsidRPr="00BA50D8">
        <w:rPr>
          <w:i/>
          <w:lang w:val="en-GB"/>
        </w:rPr>
        <w:t>The Journal of Neuroscience</w:t>
      </w:r>
      <w:r w:rsidRPr="0006442C">
        <w:rPr>
          <w:lang w:val="en-GB"/>
        </w:rPr>
        <w:t>, 29(40), 12617-12624.</w:t>
      </w:r>
      <w:r w:rsidR="008B4AFD">
        <w:rPr>
          <w:lang w:val="en-GB"/>
        </w:rPr>
        <w:t xml:space="preserve"> doi: </w:t>
      </w:r>
      <w:r w:rsidR="008B4AFD" w:rsidRPr="008B4AFD">
        <w:rPr>
          <w:lang w:val="en-GB"/>
        </w:rPr>
        <w:t>10.1523/JNEUROSCI.2696-09.2009</w:t>
      </w:r>
    </w:p>
    <w:p w14:paraId="66A9E2A0" w14:textId="77777777" w:rsidR="008D1EE3" w:rsidRPr="00BA50D8" w:rsidRDefault="00D26869" w:rsidP="008D1EE3">
      <w:pPr>
        <w:autoSpaceDE w:val="0"/>
        <w:autoSpaceDN w:val="0"/>
        <w:adjustRightInd w:val="0"/>
        <w:spacing w:line="480" w:lineRule="auto"/>
        <w:ind w:left="706" w:hanging="706"/>
        <w:rPr>
          <w:lang w:val="de-DE"/>
        </w:rPr>
      </w:pPr>
      <w:r w:rsidRPr="00723961">
        <w:rPr>
          <w:lang w:val="en-GB"/>
        </w:rPr>
        <w:t xml:space="preserve">Preuss, U. W., Rujescu, D., Giegling, I., Watzke, S., Koller, G., Zetzsche, T., Meisenzahl, E.M., Soyka, M., &amp; Möller, H. J. (2008). </w:t>
      </w:r>
      <w:r w:rsidR="008D1EE3" w:rsidRPr="00BA50D8">
        <w:rPr>
          <w:lang w:val="de-DE"/>
        </w:rPr>
        <w:t xml:space="preserve">Psychometrische Evaluation der deutschsprachigen Version der Barratt-Impulsiveness-Skala. </w:t>
      </w:r>
      <w:r w:rsidR="008D1EE3" w:rsidRPr="00BA50D8">
        <w:rPr>
          <w:i/>
          <w:lang w:val="de-DE"/>
        </w:rPr>
        <w:t>Der Nervenarzt,</w:t>
      </w:r>
      <w:r w:rsidR="008D1EE3" w:rsidRPr="00BA50D8">
        <w:rPr>
          <w:lang w:val="de-DE"/>
        </w:rPr>
        <w:t xml:space="preserve"> 79, 305-319.</w:t>
      </w:r>
      <w:r w:rsidR="008B4AFD">
        <w:rPr>
          <w:lang w:val="de-DE"/>
        </w:rPr>
        <w:t xml:space="preserve"> doi: </w:t>
      </w:r>
      <w:r w:rsidR="008B4AFD" w:rsidRPr="008B4AFD">
        <w:rPr>
          <w:lang w:val="de-DE"/>
        </w:rPr>
        <w:t>10.1007/s00115-007-2360-7</w:t>
      </w:r>
    </w:p>
    <w:p w14:paraId="66A9E2A1" w14:textId="77777777" w:rsidR="008D1EE3" w:rsidRPr="00262711" w:rsidRDefault="008D1EE3" w:rsidP="008D1EE3">
      <w:pPr>
        <w:spacing w:line="480" w:lineRule="auto"/>
        <w:rPr>
          <w:rStyle w:val="Hyperlink"/>
          <w:color w:val="auto"/>
          <w:u w:val="none"/>
          <w:lang w:val="en-GB"/>
        </w:rPr>
      </w:pPr>
      <w:r w:rsidRPr="00BA50D8">
        <w:rPr>
          <w:rStyle w:val="Hyperlink"/>
          <w:color w:val="auto"/>
          <w:u w:val="none"/>
          <w:lang w:val="de-DE"/>
        </w:rPr>
        <w:t xml:space="preserve">Reuter, M., Cooper, A. J., Smillie, L. D., Markett, S., &amp; Montag, C. (2015). </w:t>
      </w:r>
      <w:r w:rsidRPr="00262711">
        <w:rPr>
          <w:rStyle w:val="Hyperlink"/>
          <w:color w:val="auto"/>
          <w:u w:val="none"/>
          <w:lang w:val="en-GB"/>
        </w:rPr>
        <w:t xml:space="preserve">A new measure </w:t>
      </w:r>
    </w:p>
    <w:p w14:paraId="66A9E2A2" w14:textId="77777777" w:rsidR="008D1EE3" w:rsidRPr="00262711" w:rsidRDefault="008D1EE3" w:rsidP="008D1EE3">
      <w:pPr>
        <w:spacing w:line="480" w:lineRule="auto"/>
        <w:ind w:left="720"/>
        <w:rPr>
          <w:lang w:val="en-GB"/>
        </w:rPr>
      </w:pPr>
      <w:r w:rsidRPr="00262711">
        <w:rPr>
          <w:rStyle w:val="Hyperlink"/>
          <w:color w:val="auto"/>
          <w:u w:val="none"/>
          <w:lang w:val="en-GB"/>
        </w:rPr>
        <w:t xml:space="preserve">for the revised reinforcement sensitivity theory: Psychometric criteria and genetic validation. </w:t>
      </w:r>
      <w:r w:rsidRPr="00262711">
        <w:rPr>
          <w:rStyle w:val="Hyperlink"/>
          <w:i/>
          <w:color w:val="auto"/>
          <w:u w:val="none"/>
          <w:lang w:val="en-GB"/>
        </w:rPr>
        <w:t>Frontiers in Systems Neuroscience</w:t>
      </w:r>
      <w:r w:rsidRPr="00262711">
        <w:rPr>
          <w:rStyle w:val="Hyperlink"/>
          <w:color w:val="auto"/>
          <w:u w:val="none"/>
          <w:lang w:val="en-GB"/>
        </w:rPr>
        <w:t>, 9, 38.</w:t>
      </w:r>
      <w:r w:rsidRPr="00262711">
        <w:rPr>
          <w:lang w:val="en-GB"/>
        </w:rPr>
        <w:t xml:space="preserve"> doi:</w:t>
      </w:r>
      <w:r w:rsidR="00A81131">
        <w:rPr>
          <w:lang w:val="en-GB"/>
        </w:rPr>
        <w:t xml:space="preserve"> </w:t>
      </w:r>
      <w:r w:rsidRPr="00262711">
        <w:rPr>
          <w:lang w:val="en-GB"/>
        </w:rPr>
        <w:t>10.3389/fnsys.2015.00038</w:t>
      </w:r>
    </w:p>
    <w:p w14:paraId="66A9E2A3" w14:textId="77777777" w:rsidR="008D1EE3" w:rsidRPr="00262711" w:rsidRDefault="008D1EE3" w:rsidP="008D1EE3">
      <w:pPr>
        <w:autoSpaceDE w:val="0"/>
        <w:autoSpaceDN w:val="0"/>
        <w:adjustRightInd w:val="0"/>
        <w:spacing w:line="480" w:lineRule="auto"/>
        <w:ind w:left="706" w:hanging="706"/>
        <w:rPr>
          <w:lang w:val="en-GB"/>
        </w:rPr>
      </w:pPr>
      <w:r w:rsidRPr="00262711">
        <w:rPr>
          <w:lang w:val="en-GB"/>
        </w:rPr>
        <w:t xml:space="preserve">Sheehan, D. V., Lecrubier, Y., Sheehan, K. H., Amorim, P., Janavs, J., Weiller, E., Hergueta, T., Baker, R., &amp; Dunbar, G. C. (1998). The Mini-International Neuropsychiatric Interview (MINI): </w:t>
      </w:r>
      <w:r w:rsidR="00A5411F">
        <w:rPr>
          <w:lang w:val="en-GB"/>
        </w:rPr>
        <w:t>T</w:t>
      </w:r>
      <w:r w:rsidRPr="00262711">
        <w:rPr>
          <w:lang w:val="en-GB"/>
        </w:rPr>
        <w:t xml:space="preserve">he development and validation of a structured diagnostic psychiatric interview for DSM-IV and ICD-10. </w:t>
      </w:r>
      <w:r w:rsidRPr="00262711">
        <w:rPr>
          <w:i/>
          <w:lang w:val="en-GB"/>
        </w:rPr>
        <w:t>Journal of Clinical Psychiatry.</w:t>
      </w:r>
    </w:p>
    <w:p w14:paraId="66A9E2A4" w14:textId="77777777" w:rsidR="008D1EE3" w:rsidRPr="00262711" w:rsidRDefault="008D1EE3" w:rsidP="008D1EE3">
      <w:pPr>
        <w:spacing w:line="480" w:lineRule="auto"/>
        <w:rPr>
          <w:lang w:val="en-GB"/>
        </w:rPr>
      </w:pPr>
      <w:r w:rsidRPr="00262711">
        <w:rPr>
          <w:lang w:val="en-GB"/>
        </w:rPr>
        <w:t xml:space="preserve">Spielberger, C. D., Gorsuch, R. L., Lushene, R. E., Vagg, P. R., &amp; Jacobs, G. A. (1983). </w:t>
      </w:r>
    </w:p>
    <w:p w14:paraId="66A9E2A5" w14:textId="77777777" w:rsidR="008D1EE3" w:rsidRPr="00262711" w:rsidRDefault="008D1EE3" w:rsidP="008D1EE3">
      <w:pPr>
        <w:spacing w:line="480" w:lineRule="auto"/>
        <w:ind w:left="720"/>
        <w:rPr>
          <w:i/>
          <w:iCs/>
          <w:lang w:val="en-GB"/>
        </w:rPr>
      </w:pPr>
      <w:r w:rsidRPr="00262711">
        <w:rPr>
          <w:i/>
          <w:iCs/>
          <w:lang w:val="en-GB"/>
        </w:rPr>
        <w:lastRenderedPageBreak/>
        <w:t>Manual for the state-trait anxiety inventory: STAI</w:t>
      </w:r>
      <w:r w:rsidRPr="00262711">
        <w:rPr>
          <w:lang w:val="en-GB"/>
        </w:rPr>
        <w:t xml:space="preserve"> (Form Y2). Palo Alto, CA: Consulting Psychologists Press. </w:t>
      </w:r>
    </w:p>
    <w:p w14:paraId="66A9E2A6" w14:textId="77777777" w:rsidR="008D1EE3" w:rsidRPr="00347CCA" w:rsidRDefault="008D1EE3" w:rsidP="008D1EE3">
      <w:pPr>
        <w:spacing w:line="480" w:lineRule="auto"/>
        <w:rPr>
          <w:i/>
          <w:lang w:val="en-GB"/>
        </w:rPr>
      </w:pPr>
      <w:r w:rsidRPr="00262711">
        <w:rPr>
          <w:lang w:val="en-GB"/>
        </w:rPr>
        <w:t xml:space="preserve">Steiger, J. H. (1990). Structural model evaluation and modification. </w:t>
      </w:r>
      <w:r w:rsidRPr="00347CCA">
        <w:rPr>
          <w:i/>
          <w:lang w:val="en-GB"/>
        </w:rPr>
        <w:t>Multivariate Behavioral</w:t>
      </w:r>
    </w:p>
    <w:p w14:paraId="66A9E2A7" w14:textId="346ECF02" w:rsidR="008D1EE3" w:rsidRPr="00347CCA" w:rsidRDefault="008D1EE3" w:rsidP="008D1EE3">
      <w:pPr>
        <w:spacing w:line="480" w:lineRule="auto"/>
        <w:ind w:firstLine="720"/>
        <w:rPr>
          <w:rStyle w:val="Hyperlink"/>
          <w:color w:val="auto"/>
          <w:u w:val="none"/>
          <w:lang w:val="en-GB"/>
        </w:rPr>
      </w:pPr>
      <w:r w:rsidRPr="00347CCA">
        <w:rPr>
          <w:i/>
          <w:lang w:val="en-GB"/>
        </w:rPr>
        <w:t>Research, 25</w:t>
      </w:r>
      <w:r w:rsidRPr="00347CCA">
        <w:rPr>
          <w:lang w:val="en-GB"/>
        </w:rPr>
        <w:t>, 173–180. doi:</w:t>
      </w:r>
      <w:r w:rsidR="00A81131" w:rsidRPr="00347CCA">
        <w:rPr>
          <w:lang w:val="en-GB"/>
        </w:rPr>
        <w:t xml:space="preserve"> </w:t>
      </w:r>
      <w:r w:rsidRPr="00347CCA">
        <w:rPr>
          <w:lang w:val="en-GB"/>
        </w:rPr>
        <w:t>10.1207/s15327906mbr2502_4</w:t>
      </w:r>
    </w:p>
    <w:p w14:paraId="66A9E2A8" w14:textId="77777777" w:rsidR="008D1EE3" w:rsidRPr="00BA50D8" w:rsidRDefault="008D1EE3" w:rsidP="008D1EE3">
      <w:pPr>
        <w:widowControl w:val="0"/>
        <w:spacing w:line="480" w:lineRule="auto"/>
        <w:rPr>
          <w:lang w:val="de-DE"/>
        </w:rPr>
      </w:pPr>
      <w:r w:rsidRPr="00347CCA">
        <w:rPr>
          <w:lang w:val="en-GB"/>
        </w:rPr>
        <w:t xml:space="preserve">Strobel, A., Beauducel, A., Debener, S., &amp; Brocke, B. (2001). </w:t>
      </w:r>
      <w:r w:rsidRPr="00BA50D8">
        <w:rPr>
          <w:lang w:val="de-DE"/>
        </w:rPr>
        <w:t xml:space="preserve">Eine deutschsprachige Version </w:t>
      </w:r>
    </w:p>
    <w:p w14:paraId="66A9E2A9" w14:textId="77777777" w:rsidR="008D1EE3" w:rsidRPr="00BA50D8" w:rsidRDefault="008D1EE3" w:rsidP="008D1EE3">
      <w:pPr>
        <w:widowControl w:val="0"/>
        <w:spacing w:line="480" w:lineRule="auto"/>
        <w:ind w:left="720"/>
        <w:rPr>
          <w:lang w:val="de-DE"/>
        </w:rPr>
      </w:pPr>
      <w:r w:rsidRPr="00BA50D8">
        <w:rPr>
          <w:lang w:val="de-DE"/>
        </w:rPr>
        <w:t xml:space="preserve">des BIS/BAS-Fragebogens von Carver und White. </w:t>
      </w:r>
      <w:r w:rsidRPr="00BA50D8">
        <w:rPr>
          <w:i/>
          <w:lang w:val="de-DE"/>
        </w:rPr>
        <w:t>Zeitschrift für Differentielle und diagnostische Psychologie</w:t>
      </w:r>
      <w:r w:rsidRPr="00BA50D8">
        <w:rPr>
          <w:lang w:val="de-DE"/>
        </w:rPr>
        <w:t xml:space="preserve">, 22, 216-227. </w:t>
      </w:r>
      <w:r w:rsidR="00BD7733">
        <w:rPr>
          <w:lang w:val="de-DE"/>
        </w:rPr>
        <w:t>doi: 1</w:t>
      </w:r>
      <w:r w:rsidR="00BD7733" w:rsidRPr="00BD7733">
        <w:rPr>
          <w:lang w:val="de-DE"/>
        </w:rPr>
        <w:t>0.1024//0170-1789.22.3.216</w:t>
      </w:r>
    </w:p>
    <w:p w14:paraId="66A9E2AA" w14:textId="77777777" w:rsidR="008D1EE3" w:rsidRPr="00262711" w:rsidRDefault="008D1EE3" w:rsidP="008D1EE3">
      <w:pPr>
        <w:tabs>
          <w:tab w:val="left" w:pos="795"/>
        </w:tabs>
        <w:spacing w:line="480" w:lineRule="auto"/>
        <w:rPr>
          <w:lang w:val="en-GB"/>
        </w:rPr>
      </w:pPr>
      <w:r w:rsidRPr="00BA50D8">
        <w:rPr>
          <w:lang w:val="de-DE"/>
        </w:rPr>
        <w:t>W</w:t>
      </w:r>
      <w:r w:rsidR="00EE2CEC" w:rsidRPr="00BA50D8">
        <w:rPr>
          <w:lang w:val="de-DE"/>
        </w:rPr>
        <w:t>olpe, J., &amp; Lang, P. J. (1977).</w:t>
      </w:r>
      <w:r w:rsidRPr="00BA50D8">
        <w:rPr>
          <w:lang w:val="de-DE"/>
        </w:rPr>
        <w:t xml:space="preserve"> </w:t>
      </w:r>
      <w:r w:rsidRPr="00262711">
        <w:rPr>
          <w:i/>
          <w:iCs/>
          <w:lang w:val="en-GB"/>
        </w:rPr>
        <w:t>Manual for the fear survey schedule</w:t>
      </w:r>
      <w:r w:rsidRPr="00262711">
        <w:rPr>
          <w:lang w:val="en-GB"/>
        </w:rPr>
        <w:t xml:space="preserve">. San Diego, CA: </w:t>
      </w:r>
    </w:p>
    <w:p w14:paraId="66A9E2AB" w14:textId="77777777" w:rsidR="008D1EE3" w:rsidRPr="00262711" w:rsidRDefault="008D1EE3" w:rsidP="008D1EE3">
      <w:pPr>
        <w:tabs>
          <w:tab w:val="left" w:pos="795"/>
        </w:tabs>
        <w:spacing w:line="480" w:lineRule="auto"/>
        <w:rPr>
          <w:lang w:val="en-GB"/>
        </w:rPr>
      </w:pPr>
      <w:r w:rsidRPr="00262711">
        <w:rPr>
          <w:lang w:val="en-GB"/>
        </w:rPr>
        <w:tab/>
        <w:t>Educational and Industrial Testing Service.</w:t>
      </w:r>
    </w:p>
    <w:p w14:paraId="66A9E2AC" w14:textId="77777777" w:rsidR="00DF20FA" w:rsidRPr="00262711" w:rsidRDefault="00DF20FA" w:rsidP="008D1EE3">
      <w:pPr>
        <w:tabs>
          <w:tab w:val="left" w:pos="795"/>
        </w:tabs>
        <w:spacing w:line="480" w:lineRule="auto"/>
        <w:rPr>
          <w:lang w:val="en-GB"/>
        </w:rPr>
      </w:pPr>
    </w:p>
    <w:p w14:paraId="66A9E2AD" w14:textId="77777777" w:rsidR="00C80DE1" w:rsidRPr="00262711" w:rsidRDefault="00C80DE1" w:rsidP="002E2913">
      <w:pPr>
        <w:tabs>
          <w:tab w:val="left" w:pos="795"/>
        </w:tabs>
        <w:spacing w:line="480" w:lineRule="auto"/>
        <w:rPr>
          <w:lang w:val="en-GB"/>
        </w:rPr>
      </w:pPr>
    </w:p>
    <w:p w14:paraId="66A9E2AE" w14:textId="77777777" w:rsidR="00E86E14" w:rsidRPr="00262711" w:rsidRDefault="00C80DE1" w:rsidP="00C849D8">
      <w:pPr>
        <w:tabs>
          <w:tab w:val="left" w:pos="795"/>
        </w:tabs>
        <w:spacing w:line="480" w:lineRule="auto"/>
        <w:rPr>
          <w:lang w:val="en-GB"/>
        </w:rPr>
      </w:pPr>
      <w:r w:rsidRPr="00262711">
        <w:rPr>
          <w:lang w:val="en-GB"/>
        </w:rPr>
        <w:br w:type="page"/>
      </w:r>
      <w:r w:rsidR="00DB3892" w:rsidRPr="00262711">
        <w:rPr>
          <w:lang w:val="en-GB"/>
        </w:rPr>
        <w:lastRenderedPageBreak/>
        <w:t xml:space="preserve"> </w:t>
      </w:r>
      <w:r w:rsidRPr="00262711">
        <w:rPr>
          <w:lang w:val="en-GB"/>
        </w:rPr>
        <w:t xml:space="preserve">Table </w:t>
      </w:r>
      <w:r w:rsidR="00D5209B" w:rsidRPr="00262711">
        <w:rPr>
          <w:lang w:val="en-GB"/>
        </w:rPr>
        <w:t>1</w:t>
      </w:r>
    </w:p>
    <w:p w14:paraId="66A9E2AF" w14:textId="18DBFF8A" w:rsidR="00C80DE1" w:rsidRPr="00262711" w:rsidRDefault="00C80DE1" w:rsidP="00BB3356">
      <w:pPr>
        <w:spacing w:line="480" w:lineRule="auto"/>
        <w:rPr>
          <w:i/>
          <w:iCs/>
          <w:lang w:val="en-GB"/>
        </w:rPr>
      </w:pPr>
      <w:r w:rsidRPr="00262711">
        <w:rPr>
          <w:i/>
          <w:iCs/>
          <w:lang w:val="en-GB"/>
        </w:rPr>
        <w:t xml:space="preserve">Factor loadings </w:t>
      </w:r>
      <w:r w:rsidR="00661A5A" w:rsidRPr="00262711">
        <w:rPr>
          <w:i/>
          <w:iCs/>
          <w:lang w:val="en-GB"/>
        </w:rPr>
        <w:t xml:space="preserve">of BAS items </w:t>
      </w:r>
      <w:r w:rsidRPr="00262711">
        <w:rPr>
          <w:i/>
          <w:iCs/>
          <w:lang w:val="en-GB"/>
        </w:rPr>
        <w:t xml:space="preserve">for </w:t>
      </w:r>
      <w:r w:rsidR="003019DD" w:rsidRPr="00262711">
        <w:rPr>
          <w:i/>
          <w:iCs/>
          <w:lang w:val="en-GB"/>
        </w:rPr>
        <w:t>confirmatory factor analyses (C</w:t>
      </w:r>
      <w:r w:rsidRPr="00262711">
        <w:rPr>
          <w:i/>
          <w:iCs/>
          <w:lang w:val="en-GB"/>
        </w:rPr>
        <w:t>FA)</w:t>
      </w:r>
      <w:r w:rsidR="00661A5A">
        <w:rPr>
          <w:i/>
          <w:iCs/>
          <w:lang w:val="en-GB"/>
        </w:rPr>
        <w:t xml:space="preserve"> of the six-factor single-order model</w:t>
      </w:r>
      <w:r w:rsidRPr="00262711">
        <w:rPr>
          <w:i/>
          <w:iCs/>
          <w:lang w:val="en-GB"/>
        </w:rPr>
        <w:t>.</w:t>
      </w:r>
    </w:p>
    <w:tbl>
      <w:tblPr>
        <w:tblW w:w="8599" w:type="dxa"/>
        <w:tblLayout w:type="fixed"/>
        <w:tblLook w:val="00A0" w:firstRow="1" w:lastRow="0" w:firstColumn="1" w:lastColumn="0" w:noHBand="0" w:noVBand="0"/>
      </w:tblPr>
      <w:tblGrid>
        <w:gridCol w:w="5529"/>
        <w:gridCol w:w="708"/>
        <w:gridCol w:w="838"/>
        <w:gridCol w:w="762"/>
        <w:gridCol w:w="762"/>
      </w:tblGrid>
      <w:tr w:rsidR="003019DD" w:rsidRPr="00BA50D8" w14:paraId="66A9E2B2" w14:textId="77777777" w:rsidTr="00BA50D8">
        <w:tc>
          <w:tcPr>
            <w:tcW w:w="5529" w:type="dxa"/>
            <w:tcBorders>
              <w:top w:val="single" w:sz="12" w:space="0" w:color="auto"/>
              <w:bottom w:val="single" w:sz="4" w:space="0" w:color="auto"/>
            </w:tcBorders>
            <w:noWrap/>
          </w:tcPr>
          <w:p w14:paraId="66A9E2B0" w14:textId="77777777" w:rsidR="003019DD" w:rsidRPr="00BA50D8" w:rsidRDefault="003019DD" w:rsidP="00AD5A84">
            <w:pPr>
              <w:pStyle w:val="NoSpacing"/>
              <w:rPr>
                <w:rFonts w:ascii="Times New Roman" w:hAnsi="Times New Roman"/>
                <w:sz w:val="18"/>
                <w:szCs w:val="18"/>
                <w:lang w:val="en-GB"/>
              </w:rPr>
            </w:pPr>
          </w:p>
        </w:tc>
        <w:tc>
          <w:tcPr>
            <w:tcW w:w="3070" w:type="dxa"/>
            <w:gridSpan w:val="4"/>
            <w:tcBorders>
              <w:top w:val="single" w:sz="12" w:space="0" w:color="auto"/>
              <w:bottom w:val="single" w:sz="4" w:space="0" w:color="auto"/>
            </w:tcBorders>
            <w:noWrap/>
          </w:tcPr>
          <w:p w14:paraId="66A9E2B1" w14:textId="77777777" w:rsidR="003019DD" w:rsidRPr="00BA50D8" w:rsidRDefault="003019DD" w:rsidP="00BA50D8">
            <w:pPr>
              <w:pStyle w:val="NoSpacing"/>
              <w:jc w:val="center"/>
              <w:rPr>
                <w:rFonts w:ascii="Times New Roman" w:hAnsi="Times New Roman"/>
                <w:b/>
                <w:sz w:val="18"/>
                <w:szCs w:val="18"/>
                <w:lang w:val="en-GB"/>
              </w:rPr>
            </w:pPr>
            <w:r w:rsidRPr="00BA50D8">
              <w:rPr>
                <w:rFonts w:ascii="Times New Roman" w:hAnsi="Times New Roman"/>
                <w:b/>
                <w:sz w:val="18"/>
                <w:szCs w:val="18"/>
                <w:lang w:val="en-GB"/>
              </w:rPr>
              <w:t>CFA</w:t>
            </w:r>
          </w:p>
        </w:tc>
      </w:tr>
      <w:tr w:rsidR="003019DD" w:rsidRPr="00BA50D8" w14:paraId="66A9E2B8" w14:textId="77777777" w:rsidTr="00BA50D8">
        <w:tc>
          <w:tcPr>
            <w:tcW w:w="5529" w:type="dxa"/>
            <w:tcBorders>
              <w:top w:val="single" w:sz="4" w:space="0" w:color="auto"/>
              <w:bottom w:val="single" w:sz="4" w:space="0" w:color="auto"/>
            </w:tcBorders>
            <w:noWrap/>
          </w:tcPr>
          <w:p w14:paraId="66A9E2B3" w14:textId="77777777" w:rsidR="003019DD" w:rsidRPr="00BA50D8" w:rsidRDefault="003019DD" w:rsidP="00AD5A84">
            <w:pPr>
              <w:pStyle w:val="NoSpacing"/>
              <w:rPr>
                <w:rFonts w:ascii="Times New Roman" w:hAnsi="Times New Roman"/>
                <w:b/>
                <w:sz w:val="18"/>
                <w:szCs w:val="18"/>
                <w:lang w:val="en-GB"/>
              </w:rPr>
            </w:pPr>
            <w:r w:rsidRPr="00BA50D8">
              <w:rPr>
                <w:rFonts w:ascii="Times New Roman" w:hAnsi="Times New Roman"/>
                <w:b/>
                <w:sz w:val="18"/>
                <w:szCs w:val="18"/>
                <w:lang w:val="en-GB"/>
              </w:rPr>
              <w:t>Thematic Facets</w:t>
            </w:r>
          </w:p>
        </w:tc>
        <w:tc>
          <w:tcPr>
            <w:tcW w:w="708" w:type="dxa"/>
            <w:tcBorders>
              <w:top w:val="single" w:sz="4" w:space="0" w:color="auto"/>
              <w:bottom w:val="single" w:sz="4" w:space="0" w:color="auto"/>
            </w:tcBorders>
            <w:noWrap/>
          </w:tcPr>
          <w:p w14:paraId="66A9E2B4" w14:textId="77777777" w:rsidR="003019DD" w:rsidRPr="00BA50D8" w:rsidRDefault="003019DD" w:rsidP="00BA50D8">
            <w:pPr>
              <w:pStyle w:val="NoSpacing"/>
              <w:jc w:val="center"/>
              <w:rPr>
                <w:rFonts w:ascii="Times New Roman" w:hAnsi="Times New Roman"/>
                <w:b/>
                <w:sz w:val="18"/>
                <w:szCs w:val="18"/>
                <w:lang w:val="en-GB"/>
              </w:rPr>
            </w:pPr>
            <w:r w:rsidRPr="00BA50D8">
              <w:rPr>
                <w:rFonts w:ascii="Times New Roman" w:hAnsi="Times New Roman"/>
                <w:b/>
                <w:sz w:val="18"/>
                <w:szCs w:val="18"/>
                <w:lang w:val="en-GB"/>
              </w:rPr>
              <w:t>1:RI</w:t>
            </w:r>
          </w:p>
        </w:tc>
        <w:tc>
          <w:tcPr>
            <w:tcW w:w="838" w:type="dxa"/>
            <w:tcBorders>
              <w:top w:val="single" w:sz="4" w:space="0" w:color="auto"/>
              <w:bottom w:val="single" w:sz="4" w:space="0" w:color="auto"/>
            </w:tcBorders>
            <w:noWrap/>
          </w:tcPr>
          <w:p w14:paraId="66A9E2B5" w14:textId="77777777" w:rsidR="003019DD" w:rsidRPr="00BA50D8" w:rsidRDefault="003019DD" w:rsidP="00BA50D8">
            <w:pPr>
              <w:pStyle w:val="NoSpacing"/>
              <w:jc w:val="center"/>
              <w:rPr>
                <w:rFonts w:ascii="Times New Roman" w:hAnsi="Times New Roman"/>
                <w:b/>
                <w:sz w:val="18"/>
                <w:szCs w:val="18"/>
                <w:lang w:val="en-GB"/>
              </w:rPr>
            </w:pPr>
            <w:r w:rsidRPr="00BA50D8">
              <w:rPr>
                <w:rFonts w:ascii="Times New Roman" w:hAnsi="Times New Roman"/>
                <w:b/>
                <w:sz w:val="18"/>
                <w:szCs w:val="18"/>
                <w:lang w:val="en-GB"/>
              </w:rPr>
              <w:t>2: G</w:t>
            </w:r>
            <w:r w:rsidR="00DD6191">
              <w:rPr>
                <w:rFonts w:ascii="Times New Roman" w:hAnsi="Times New Roman"/>
                <w:b/>
                <w:sz w:val="18"/>
                <w:szCs w:val="18"/>
                <w:lang w:val="en-GB"/>
              </w:rPr>
              <w:t>D</w:t>
            </w:r>
            <w:r w:rsidRPr="00BA50D8">
              <w:rPr>
                <w:rFonts w:ascii="Times New Roman" w:hAnsi="Times New Roman"/>
                <w:b/>
                <w:sz w:val="18"/>
                <w:szCs w:val="18"/>
                <w:lang w:val="en-GB"/>
              </w:rPr>
              <w:t>P</w:t>
            </w:r>
          </w:p>
        </w:tc>
        <w:tc>
          <w:tcPr>
            <w:tcW w:w="762" w:type="dxa"/>
            <w:tcBorders>
              <w:top w:val="single" w:sz="4" w:space="0" w:color="auto"/>
              <w:bottom w:val="single" w:sz="4" w:space="0" w:color="auto"/>
            </w:tcBorders>
            <w:noWrap/>
          </w:tcPr>
          <w:p w14:paraId="66A9E2B6" w14:textId="77777777" w:rsidR="003019DD" w:rsidRPr="00BA50D8" w:rsidRDefault="003019DD" w:rsidP="00BA50D8">
            <w:pPr>
              <w:pStyle w:val="NoSpacing"/>
              <w:jc w:val="center"/>
              <w:rPr>
                <w:rFonts w:ascii="Times New Roman" w:hAnsi="Times New Roman"/>
                <w:b/>
                <w:sz w:val="18"/>
                <w:szCs w:val="18"/>
                <w:lang w:val="en-GB"/>
              </w:rPr>
            </w:pPr>
            <w:r w:rsidRPr="00BA50D8">
              <w:rPr>
                <w:rFonts w:ascii="Times New Roman" w:hAnsi="Times New Roman"/>
                <w:b/>
                <w:sz w:val="18"/>
                <w:szCs w:val="18"/>
                <w:lang w:val="en-GB"/>
              </w:rPr>
              <w:t>3:RR</w:t>
            </w:r>
          </w:p>
        </w:tc>
        <w:tc>
          <w:tcPr>
            <w:tcW w:w="762" w:type="dxa"/>
            <w:tcBorders>
              <w:top w:val="single" w:sz="4" w:space="0" w:color="auto"/>
              <w:bottom w:val="single" w:sz="4" w:space="0" w:color="auto"/>
            </w:tcBorders>
            <w:noWrap/>
          </w:tcPr>
          <w:p w14:paraId="66A9E2B7" w14:textId="77777777" w:rsidR="003019DD" w:rsidRPr="00BA50D8" w:rsidRDefault="003019DD" w:rsidP="00BA50D8">
            <w:pPr>
              <w:pStyle w:val="NoSpacing"/>
              <w:jc w:val="center"/>
              <w:rPr>
                <w:rFonts w:ascii="Times New Roman" w:hAnsi="Times New Roman"/>
                <w:b/>
                <w:sz w:val="18"/>
                <w:szCs w:val="18"/>
                <w:lang w:val="en-GB"/>
              </w:rPr>
            </w:pPr>
            <w:r w:rsidRPr="00BA50D8">
              <w:rPr>
                <w:rFonts w:ascii="Times New Roman" w:hAnsi="Times New Roman"/>
                <w:b/>
                <w:sz w:val="18"/>
                <w:szCs w:val="18"/>
                <w:lang w:val="en-GB"/>
              </w:rPr>
              <w:t>4: Imp</w:t>
            </w:r>
          </w:p>
        </w:tc>
      </w:tr>
      <w:tr w:rsidR="003019DD" w:rsidRPr="00BA50D8" w14:paraId="66A9E2BE" w14:textId="77777777" w:rsidTr="00BA50D8">
        <w:tc>
          <w:tcPr>
            <w:tcW w:w="5529" w:type="dxa"/>
            <w:tcBorders>
              <w:top w:val="single" w:sz="4" w:space="0" w:color="auto"/>
            </w:tcBorders>
            <w:noWrap/>
          </w:tcPr>
          <w:p w14:paraId="66A9E2B9" w14:textId="77777777" w:rsidR="003019DD" w:rsidRPr="00BA50D8" w:rsidRDefault="003019DD" w:rsidP="00AD5A84">
            <w:pPr>
              <w:pStyle w:val="NoSpacing"/>
              <w:rPr>
                <w:rFonts w:ascii="Times New Roman" w:hAnsi="Times New Roman"/>
                <w:b/>
                <w:sz w:val="18"/>
                <w:szCs w:val="18"/>
                <w:lang w:val="en-GB"/>
              </w:rPr>
            </w:pPr>
            <w:r w:rsidRPr="00BA50D8">
              <w:rPr>
                <w:rFonts w:ascii="Times New Roman" w:hAnsi="Times New Roman"/>
                <w:b/>
                <w:sz w:val="18"/>
                <w:szCs w:val="18"/>
                <w:lang w:val="en-GB"/>
              </w:rPr>
              <w:t>Reward Interest</w:t>
            </w:r>
          </w:p>
        </w:tc>
        <w:tc>
          <w:tcPr>
            <w:tcW w:w="708" w:type="dxa"/>
            <w:tcBorders>
              <w:top w:val="single" w:sz="4" w:space="0" w:color="auto"/>
            </w:tcBorders>
            <w:noWrap/>
          </w:tcPr>
          <w:p w14:paraId="66A9E2BA" w14:textId="77777777" w:rsidR="003019DD" w:rsidRPr="00BA50D8" w:rsidRDefault="003019DD" w:rsidP="00BA50D8">
            <w:pPr>
              <w:pStyle w:val="NoSpacing"/>
              <w:jc w:val="center"/>
              <w:rPr>
                <w:sz w:val="18"/>
                <w:szCs w:val="18"/>
                <w:lang w:val="en-GB"/>
              </w:rPr>
            </w:pPr>
          </w:p>
        </w:tc>
        <w:tc>
          <w:tcPr>
            <w:tcW w:w="838" w:type="dxa"/>
            <w:tcBorders>
              <w:top w:val="single" w:sz="4" w:space="0" w:color="auto"/>
            </w:tcBorders>
            <w:noWrap/>
          </w:tcPr>
          <w:p w14:paraId="66A9E2BB" w14:textId="77777777" w:rsidR="003019DD" w:rsidRPr="00BA50D8" w:rsidRDefault="003019DD" w:rsidP="00BA50D8">
            <w:pPr>
              <w:pStyle w:val="NoSpacing"/>
              <w:jc w:val="center"/>
              <w:rPr>
                <w:sz w:val="18"/>
                <w:szCs w:val="18"/>
                <w:lang w:val="en-GB"/>
              </w:rPr>
            </w:pPr>
          </w:p>
        </w:tc>
        <w:tc>
          <w:tcPr>
            <w:tcW w:w="762" w:type="dxa"/>
            <w:tcBorders>
              <w:top w:val="single" w:sz="4" w:space="0" w:color="auto"/>
            </w:tcBorders>
            <w:noWrap/>
          </w:tcPr>
          <w:p w14:paraId="66A9E2BC" w14:textId="77777777" w:rsidR="003019DD" w:rsidRPr="00BA50D8" w:rsidRDefault="003019DD" w:rsidP="00BA50D8">
            <w:pPr>
              <w:pStyle w:val="NoSpacing"/>
              <w:jc w:val="center"/>
              <w:rPr>
                <w:sz w:val="18"/>
                <w:szCs w:val="18"/>
                <w:lang w:val="en-GB"/>
              </w:rPr>
            </w:pPr>
          </w:p>
        </w:tc>
        <w:tc>
          <w:tcPr>
            <w:tcW w:w="762" w:type="dxa"/>
            <w:tcBorders>
              <w:top w:val="single" w:sz="4" w:space="0" w:color="auto"/>
            </w:tcBorders>
            <w:noWrap/>
          </w:tcPr>
          <w:p w14:paraId="66A9E2BD" w14:textId="77777777" w:rsidR="003019DD" w:rsidRPr="00BA50D8" w:rsidRDefault="003019DD" w:rsidP="00BA50D8">
            <w:pPr>
              <w:pStyle w:val="NoSpacing"/>
              <w:jc w:val="center"/>
              <w:rPr>
                <w:sz w:val="18"/>
                <w:szCs w:val="18"/>
                <w:lang w:val="en-GB"/>
              </w:rPr>
            </w:pPr>
          </w:p>
        </w:tc>
      </w:tr>
      <w:tr w:rsidR="003019DD" w:rsidRPr="00BA50D8" w14:paraId="66A9E2C4" w14:textId="77777777" w:rsidTr="00BA50D8">
        <w:tc>
          <w:tcPr>
            <w:tcW w:w="5529" w:type="dxa"/>
            <w:noWrap/>
          </w:tcPr>
          <w:p w14:paraId="66A9E2BF"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am always finding new and interesting things to do.</w:t>
            </w:r>
          </w:p>
        </w:tc>
        <w:tc>
          <w:tcPr>
            <w:tcW w:w="708" w:type="dxa"/>
            <w:noWrap/>
          </w:tcPr>
          <w:p w14:paraId="66A9E2C0" w14:textId="77777777" w:rsidR="003019DD" w:rsidRPr="00065B92" w:rsidRDefault="003019DD"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w:t>
            </w:r>
            <w:r w:rsidR="00CE087E">
              <w:rPr>
                <w:rFonts w:ascii="Times New Roman" w:hAnsi="Times New Roman"/>
                <w:sz w:val="18"/>
                <w:szCs w:val="18"/>
                <w:lang w:val="en-GB"/>
              </w:rPr>
              <w:t>84</w:t>
            </w:r>
          </w:p>
        </w:tc>
        <w:tc>
          <w:tcPr>
            <w:tcW w:w="838" w:type="dxa"/>
            <w:noWrap/>
          </w:tcPr>
          <w:p w14:paraId="66A9E2C1" w14:textId="77777777" w:rsidR="003019DD" w:rsidRPr="00DF1961" w:rsidRDefault="003019DD" w:rsidP="00BA50D8">
            <w:pPr>
              <w:pStyle w:val="NoSpacing"/>
              <w:jc w:val="center"/>
              <w:rPr>
                <w:rFonts w:ascii="Times New Roman" w:hAnsi="Times New Roman"/>
                <w:sz w:val="18"/>
                <w:szCs w:val="18"/>
                <w:lang w:val="en-GB"/>
              </w:rPr>
            </w:pPr>
          </w:p>
        </w:tc>
        <w:tc>
          <w:tcPr>
            <w:tcW w:w="762" w:type="dxa"/>
            <w:noWrap/>
          </w:tcPr>
          <w:p w14:paraId="66A9E2C2"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2C3" w14:textId="77777777" w:rsidR="003019DD" w:rsidRPr="003D3592" w:rsidRDefault="003019DD" w:rsidP="00BA50D8">
            <w:pPr>
              <w:pStyle w:val="NoSpacing"/>
              <w:jc w:val="center"/>
              <w:rPr>
                <w:rFonts w:ascii="Times New Roman" w:hAnsi="Times New Roman"/>
                <w:sz w:val="18"/>
                <w:szCs w:val="18"/>
                <w:lang w:val="en-GB"/>
              </w:rPr>
            </w:pPr>
          </w:p>
        </w:tc>
      </w:tr>
      <w:tr w:rsidR="003019DD" w:rsidRPr="00BA50D8" w14:paraId="66A9E2CA" w14:textId="77777777" w:rsidTr="00BA50D8">
        <w:tc>
          <w:tcPr>
            <w:tcW w:w="5529" w:type="dxa"/>
            <w:noWrap/>
          </w:tcPr>
          <w:p w14:paraId="66A9E2C5"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regularly try new activities just to see if I enjoy them.</w:t>
            </w:r>
          </w:p>
        </w:tc>
        <w:tc>
          <w:tcPr>
            <w:tcW w:w="708" w:type="dxa"/>
            <w:noWrap/>
          </w:tcPr>
          <w:p w14:paraId="66A9E2C6" w14:textId="77777777" w:rsidR="003019DD" w:rsidRPr="00065B92" w:rsidRDefault="003019DD"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0.6</w:t>
            </w:r>
            <w:r w:rsidR="00CE087E">
              <w:rPr>
                <w:rFonts w:ascii="Times New Roman" w:hAnsi="Times New Roman"/>
                <w:sz w:val="18"/>
                <w:szCs w:val="18"/>
                <w:lang w:val="en-GB"/>
              </w:rPr>
              <w:t>0</w:t>
            </w:r>
          </w:p>
        </w:tc>
        <w:tc>
          <w:tcPr>
            <w:tcW w:w="838" w:type="dxa"/>
            <w:noWrap/>
          </w:tcPr>
          <w:p w14:paraId="66A9E2C7" w14:textId="77777777" w:rsidR="003019DD" w:rsidRPr="00DF1961" w:rsidRDefault="003019DD" w:rsidP="00BA50D8">
            <w:pPr>
              <w:pStyle w:val="NoSpacing"/>
              <w:jc w:val="center"/>
              <w:rPr>
                <w:rFonts w:ascii="Times New Roman" w:hAnsi="Times New Roman"/>
                <w:sz w:val="18"/>
                <w:szCs w:val="18"/>
                <w:lang w:val="en-GB"/>
              </w:rPr>
            </w:pPr>
          </w:p>
        </w:tc>
        <w:tc>
          <w:tcPr>
            <w:tcW w:w="762" w:type="dxa"/>
            <w:noWrap/>
          </w:tcPr>
          <w:p w14:paraId="66A9E2C8"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2C9" w14:textId="77777777" w:rsidR="003019DD" w:rsidRPr="003D3592" w:rsidRDefault="003019DD" w:rsidP="00BA50D8">
            <w:pPr>
              <w:pStyle w:val="NoSpacing"/>
              <w:jc w:val="center"/>
              <w:rPr>
                <w:rFonts w:ascii="Times New Roman" w:hAnsi="Times New Roman"/>
                <w:sz w:val="18"/>
                <w:szCs w:val="18"/>
                <w:lang w:val="en-GB"/>
              </w:rPr>
            </w:pPr>
          </w:p>
        </w:tc>
      </w:tr>
      <w:tr w:rsidR="003019DD" w:rsidRPr="00BA50D8" w14:paraId="66A9E2D0" w14:textId="77777777" w:rsidTr="00BA50D8">
        <w:tc>
          <w:tcPr>
            <w:tcW w:w="5529" w:type="dxa"/>
            <w:noWrap/>
          </w:tcPr>
          <w:p w14:paraId="66A9E2CB"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get carried away by new projects.</w:t>
            </w:r>
          </w:p>
        </w:tc>
        <w:tc>
          <w:tcPr>
            <w:tcW w:w="708" w:type="dxa"/>
            <w:noWrap/>
          </w:tcPr>
          <w:p w14:paraId="66A9E2CC" w14:textId="77777777" w:rsidR="003019DD" w:rsidRPr="00065B92" w:rsidRDefault="00F47DE2"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0.6</w:t>
            </w:r>
            <w:r w:rsidR="00CE087E">
              <w:rPr>
                <w:rFonts w:ascii="Times New Roman" w:hAnsi="Times New Roman"/>
                <w:sz w:val="18"/>
                <w:szCs w:val="18"/>
                <w:lang w:val="en-GB"/>
              </w:rPr>
              <w:t>6</w:t>
            </w:r>
          </w:p>
        </w:tc>
        <w:tc>
          <w:tcPr>
            <w:tcW w:w="838" w:type="dxa"/>
            <w:noWrap/>
          </w:tcPr>
          <w:p w14:paraId="66A9E2CD" w14:textId="77777777" w:rsidR="003019DD" w:rsidRPr="00DF1961" w:rsidRDefault="003019DD" w:rsidP="00BA50D8">
            <w:pPr>
              <w:pStyle w:val="NoSpacing"/>
              <w:jc w:val="center"/>
              <w:rPr>
                <w:rFonts w:ascii="Times New Roman" w:hAnsi="Times New Roman"/>
                <w:sz w:val="18"/>
                <w:szCs w:val="18"/>
                <w:lang w:val="en-GB"/>
              </w:rPr>
            </w:pPr>
          </w:p>
        </w:tc>
        <w:tc>
          <w:tcPr>
            <w:tcW w:w="762" w:type="dxa"/>
            <w:noWrap/>
          </w:tcPr>
          <w:p w14:paraId="66A9E2CE"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2CF" w14:textId="77777777" w:rsidR="003019DD" w:rsidRPr="003D3592" w:rsidRDefault="003019DD" w:rsidP="00BA50D8">
            <w:pPr>
              <w:pStyle w:val="NoSpacing"/>
              <w:jc w:val="center"/>
              <w:rPr>
                <w:rFonts w:ascii="Times New Roman" w:hAnsi="Times New Roman"/>
                <w:sz w:val="18"/>
                <w:szCs w:val="18"/>
                <w:lang w:val="en-GB"/>
              </w:rPr>
            </w:pPr>
          </w:p>
        </w:tc>
      </w:tr>
      <w:tr w:rsidR="003019DD" w:rsidRPr="00BA50D8" w14:paraId="66A9E2D6" w14:textId="77777777" w:rsidTr="00BA50D8">
        <w:tc>
          <w:tcPr>
            <w:tcW w:w="5529" w:type="dxa"/>
            <w:noWrap/>
          </w:tcPr>
          <w:p w14:paraId="66A9E2D1"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take a great deal of interest in hobbies.</w:t>
            </w:r>
          </w:p>
        </w:tc>
        <w:tc>
          <w:tcPr>
            <w:tcW w:w="708" w:type="dxa"/>
            <w:noWrap/>
          </w:tcPr>
          <w:p w14:paraId="66A9E2D2" w14:textId="77777777" w:rsidR="003019DD" w:rsidRPr="00065B92" w:rsidRDefault="00CE087E" w:rsidP="00BA50D8">
            <w:pPr>
              <w:pStyle w:val="NoSpacing"/>
              <w:jc w:val="center"/>
              <w:rPr>
                <w:rFonts w:ascii="Times New Roman" w:hAnsi="Times New Roman"/>
                <w:sz w:val="18"/>
                <w:szCs w:val="18"/>
                <w:lang w:val="en-GB"/>
              </w:rPr>
            </w:pPr>
            <w:r>
              <w:rPr>
                <w:rFonts w:ascii="Times New Roman" w:hAnsi="Times New Roman"/>
                <w:sz w:val="18"/>
                <w:szCs w:val="18"/>
                <w:lang w:val="en-GB"/>
              </w:rPr>
              <w:t>0.68</w:t>
            </w:r>
          </w:p>
        </w:tc>
        <w:tc>
          <w:tcPr>
            <w:tcW w:w="838" w:type="dxa"/>
            <w:noWrap/>
          </w:tcPr>
          <w:p w14:paraId="66A9E2D3" w14:textId="77777777" w:rsidR="003019DD" w:rsidRPr="00DF1961" w:rsidRDefault="003019DD" w:rsidP="00BA50D8">
            <w:pPr>
              <w:pStyle w:val="NoSpacing"/>
              <w:jc w:val="center"/>
              <w:rPr>
                <w:rFonts w:ascii="Times New Roman" w:hAnsi="Times New Roman"/>
                <w:sz w:val="18"/>
                <w:szCs w:val="18"/>
                <w:lang w:val="en-GB"/>
              </w:rPr>
            </w:pPr>
          </w:p>
        </w:tc>
        <w:tc>
          <w:tcPr>
            <w:tcW w:w="762" w:type="dxa"/>
            <w:noWrap/>
          </w:tcPr>
          <w:p w14:paraId="66A9E2D4"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2D5" w14:textId="77777777" w:rsidR="003019DD" w:rsidRPr="003D3592" w:rsidRDefault="003019DD" w:rsidP="00BA50D8">
            <w:pPr>
              <w:pStyle w:val="NoSpacing"/>
              <w:jc w:val="center"/>
              <w:rPr>
                <w:rFonts w:ascii="Times New Roman" w:hAnsi="Times New Roman"/>
                <w:sz w:val="18"/>
                <w:szCs w:val="18"/>
                <w:lang w:val="en-GB"/>
              </w:rPr>
            </w:pPr>
          </w:p>
        </w:tc>
      </w:tr>
      <w:tr w:rsidR="003019DD" w:rsidRPr="00BA50D8" w14:paraId="66A9E2DC" w14:textId="77777777" w:rsidTr="00BA50D8">
        <w:tc>
          <w:tcPr>
            <w:tcW w:w="5529" w:type="dxa"/>
            <w:noWrap/>
          </w:tcPr>
          <w:p w14:paraId="66A9E2D7"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am very open to new experiences in life.</w:t>
            </w:r>
          </w:p>
        </w:tc>
        <w:tc>
          <w:tcPr>
            <w:tcW w:w="708" w:type="dxa"/>
            <w:noWrap/>
          </w:tcPr>
          <w:p w14:paraId="66A9E2D8" w14:textId="77777777" w:rsidR="003019DD" w:rsidRPr="00065B92" w:rsidRDefault="00F47DE2"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0.5</w:t>
            </w:r>
            <w:r w:rsidR="00CE087E">
              <w:rPr>
                <w:rFonts w:ascii="Times New Roman" w:hAnsi="Times New Roman"/>
                <w:sz w:val="18"/>
                <w:szCs w:val="18"/>
                <w:lang w:val="en-GB"/>
              </w:rPr>
              <w:t>8</w:t>
            </w:r>
          </w:p>
        </w:tc>
        <w:tc>
          <w:tcPr>
            <w:tcW w:w="838" w:type="dxa"/>
            <w:noWrap/>
          </w:tcPr>
          <w:p w14:paraId="66A9E2D9" w14:textId="77777777" w:rsidR="003019DD" w:rsidRPr="00DF1961" w:rsidRDefault="003019DD" w:rsidP="00BA50D8">
            <w:pPr>
              <w:pStyle w:val="NoSpacing"/>
              <w:jc w:val="center"/>
              <w:rPr>
                <w:rFonts w:ascii="Times New Roman" w:hAnsi="Times New Roman"/>
                <w:sz w:val="18"/>
                <w:szCs w:val="18"/>
                <w:lang w:val="en-GB"/>
              </w:rPr>
            </w:pPr>
          </w:p>
        </w:tc>
        <w:tc>
          <w:tcPr>
            <w:tcW w:w="762" w:type="dxa"/>
            <w:noWrap/>
          </w:tcPr>
          <w:p w14:paraId="66A9E2DA"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2DB" w14:textId="77777777" w:rsidR="003019DD" w:rsidRPr="003D3592" w:rsidRDefault="003019DD" w:rsidP="00BA50D8">
            <w:pPr>
              <w:pStyle w:val="NoSpacing"/>
              <w:jc w:val="center"/>
              <w:rPr>
                <w:rFonts w:ascii="Times New Roman" w:hAnsi="Times New Roman"/>
                <w:sz w:val="18"/>
                <w:szCs w:val="18"/>
                <w:lang w:val="en-GB"/>
              </w:rPr>
            </w:pPr>
          </w:p>
        </w:tc>
      </w:tr>
      <w:tr w:rsidR="003019DD" w:rsidRPr="00BA50D8" w14:paraId="66A9E2E2" w14:textId="77777777" w:rsidTr="00BA50D8">
        <w:tc>
          <w:tcPr>
            <w:tcW w:w="5529" w:type="dxa"/>
            <w:noWrap/>
          </w:tcPr>
          <w:p w14:paraId="66A9E2DD" w14:textId="77777777" w:rsidR="003019DD" w:rsidRPr="00BA50D8" w:rsidRDefault="003019DD" w:rsidP="00AD5A84">
            <w:pPr>
              <w:pStyle w:val="NoSpacing"/>
              <w:rPr>
                <w:rFonts w:ascii="Times New Roman" w:hAnsi="Times New Roman"/>
                <w:sz w:val="18"/>
                <w:szCs w:val="18"/>
                <w:vertAlign w:val="superscript"/>
                <w:lang w:val="en-GB"/>
              </w:rPr>
            </w:pPr>
            <w:r w:rsidRPr="00BA50D8">
              <w:rPr>
                <w:rFonts w:ascii="Times New Roman" w:hAnsi="Times New Roman"/>
                <w:sz w:val="18"/>
                <w:szCs w:val="18"/>
                <w:lang w:val="en-GB"/>
              </w:rPr>
              <w:t>I am a very active person.</w:t>
            </w:r>
          </w:p>
        </w:tc>
        <w:tc>
          <w:tcPr>
            <w:tcW w:w="708" w:type="dxa"/>
            <w:noWrap/>
          </w:tcPr>
          <w:p w14:paraId="66A9E2DE" w14:textId="77777777" w:rsidR="003019DD" w:rsidRPr="00065B92" w:rsidRDefault="00CE087E" w:rsidP="00BA50D8">
            <w:pPr>
              <w:pStyle w:val="NoSpacing"/>
              <w:jc w:val="center"/>
              <w:rPr>
                <w:rFonts w:ascii="Times New Roman" w:hAnsi="Times New Roman"/>
                <w:sz w:val="18"/>
                <w:szCs w:val="18"/>
                <w:lang w:val="en-GB"/>
              </w:rPr>
            </w:pPr>
            <w:r>
              <w:rPr>
                <w:rFonts w:ascii="Times New Roman" w:hAnsi="Times New Roman"/>
                <w:sz w:val="18"/>
                <w:szCs w:val="18"/>
                <w:lang w:val="en-GB"/>
              </w:rPr>
              <w:t>0.72</w:t>
            </w:r>
          </w:p>
        </w:tc>
        <w:tc>
          <w:tcPr>
            <w:tcW w:w="838" w:type="dxa"/>
            <w:noWrap/>
          </w:tcPr>
          <w:p w14:paraId="66A9E2DF" w14:textId="77777777" w:rsidR="003019DD" w:rsidRPr="00DF1961" w:rsidRDefault="003019DD" w:rsidP="00BA50D8">
            <w:pPr>
              <w:pStyle w:val="NoSpacing"/>
              <w:jc w:val="center"/>
              <w:rPr>
                <w:rFonts w:ascii="Times New Roman" w:hAnsi="Times New Roman"/>
                <w:sz w:val="18"/>
                <w:szCs w:val="18"/>
                <w:lang w:val="en-GB"/>
              </w:rPr>
            </w:pPr>
          </w:p>
        </w:tc>
        <w:tc>
          <w:tcPr>
            <w:tcW w:w="762" w:type="dxa"/>
            <w:noWrap/>
          </w:tcPr>
          <w:p w14:paraId="66A9E2E0"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2E1" w14:textId="77777777" w:rsidR="003019DD" w:rsidRPr="003D3592" w:rsidRDefault="003019DD" w:rsidP="00BA50D8">
            <w:pPr>
              <w:pStyle w:val="NoSpacing"/>
              <w:jc w:val="center"/>
              <w:rPr>
                <w:rFonts w:ascii="Times New Roman" w:hAnsi="Times New Roman"/>
                <w:sz w:val="18"/>
                <w:szCs w:val="18"/>
                <w:lang w:val="en-GB"/>
              </w:rPr>
            </w:pPr>
          </w:p>
        </w:tc>
      </w:tr>
      <w:tr w:rsidR="003019DD" w:rsidRPr="00BA50D8" w14:paraId="66A9E2E8" w14:textId="77777777" w:rsidTr="00BA50D8">
        <w:tc>
          <w:tcPr>
            <w:tcW w:w="5529" w:type="dxa"/>
            <w:noWrap/>
          </w:tcPr>
          <w:p w14:paraId="66A9E2E3" w14:textId="77777777" w:rsidR="003019DD" w:rsidRPr="00BA50D8" w:rsidRDefault="003019DD" w:rsidP="00AD5A84">
            <w:pPr>
              <w:pStyle w:val="NoSpacing"/>
              <w:rPr>
                <w:rFonts w:ascii="Times New Roman" w:hAnsi="Times New Roman"/>
                <w:sz w:val="18"/>
                <w:szCs w:val="18"/>
                <w:vertAlign w:val="superscript"/>
                <w:lang w:val="en-GB"/>
              </w:rPr>
            </w:pPr>
            <w:r w:rsidRPr="00BA50D8">
              <w:rPr>
                <w:rFonts w:ascii="Times New Roman" w:hAnsi="Times New Roman"/>
                <w:sz w:val="18"/>
                <w:szCs w:val="18"/>
                <w:lang w:val="en-GB"/>
              </w:rPr>
              <w:t>I am always ‘on the go’.</w:t>
            </w:r>
          </w:p>
        </w:tc>
        <w:tc>
          <w:tcPr>
            <w:tcW w:w="708" w:type="dxa"/>
            <w:noWrap/>
          </w:tcPr>
          <w:p w14:paraId="66A9E2E4" w14:textId="77777777" w:rsidR="003019DD" w:rsidRPr="00065B92" w:rsidRDefault="00F47DE2"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0.6</w:t>
            </w:r>
            <w:r w:rsidR="00CE087E">
              <w:rPr>
                <w:rFonts w:ascii="Times New Roman" w:hAnsi="Times New Roman"/>
                <w:sz w:val="18"/>
                <w:szCs w:val="18"/>
                <w:lang w:val="en-GB"/>
              </w:rPr>
              <w:t>0</w:t>
            </w:r>
          </w:p>
        </w:tc>
        <w:tc>
          <w:tcPr>
            <w:tcW w:w="838" w:type="dxa"/>
            <w:noWrap/>
          </w:tcPr>
          <w:p w14:paraId="66A9E2E5" w14:textId="77777777" w:rsidR="003019DD" w:rsidRPr="00DF1961" w:rsidRDefault="003019DD" w:rsidP="00BA50D8">
            <w:pPr>
              <w:pStyle w:val="NoSpacing"/>
              <w:jc w:val="center"/>
              <w:rPr>
                <w:rFonts w:ascii="Times New Roman" w:hAnsi="Times New Roman"/>
                <w:sz w:val="18"/>
                <w:szCs w:val="18"/>
                <w:lang w:val="en-GB"/>
              </w:rPr>
            </w:pPr>
          </w:p>
        </w:tc>
        <w:tc>
          <w:tcPr>
            <w:tcW w:w="762" w:type="dxa"/>
            <w:noWrap/>
          </w:tcPr>
          <w:p w14:paraId="66A9E2E6"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2E7" w14:textId="77777777" w:rsidR="003019DD" w:rsidRPr="003D3592" w:rsidRDefault="003019DD" w:rsidP="00BA50D8">
            <w:pPr>
              <w:pStyle w:val="NoSpacing"/>
              <w:jc w:val="center"/>
              <w:rPr>
                <w:rFonts w:ascii="Times New Roman" w:hAnsi="Times New Roman"/>
                <w:sz w:val="18"/>
                <w:szCs w:val="18"/>
                <w:lang w:val="en-GB"/>
              </w:rPr>
            </w:pPr>
          </w:p>
        </w:tc>
      </w:tr>
      <w:tr w:rsidR="003019DD" w:rsidRPr="00BA50D8" w14:paraId="66A9E2EE" w14:textId="77777777" w:rsidTr="00BA50D8">
        <w:tc>
          <w:tcPr>
            <w:tcW w:w="5529" w:type="dxa"/>
            <w:noWrap/>
          </w:tcPr>
          <w:p w14:paraId="66A9E2E9" w14:textId="77777777" w:rsidR="003019DD" w:rsidRPr="00BA50D8" w:rsidRDefault="003019DD" w:rsidP="00AD5A84">
            <w:pPr>
              <w:pStyle w:val="NoSpacing"/>
              <w:rPr>
                <w:rFonts w:ascii="Times New Roman" w:hAnsi="Times New Roman"/>
                <w:b/>
                <w:sz w:val="18"/>
                <w:szCs w:val="18"/>
                <w:lang w:val="en-GB"/>
              </w:rPr>
            </w:pPr>
            <w:r w:rsidRPr="00BA50D8">
              <w:rPr>
                <w:rFonts w:ascii="Times New Roman" w:hAnsi="Times New Roman"/>
                <w:b/>
                <w:sz w:val="18"/>
                <w:szCs w:val="18"/>
                <w:lang w:val="en-GB"/>
              </w:rPr>
              <w:t>Drive-Persistence</w:t>
            </w:r>
          </w:p>
        </w:tc>
        <w:tc>
          <w:tcPr>
            <w:tcW w:w="708" w:type="dxa"/>
            <w:noWrap/>
          </w:tcPr>
          <w:p w14:paraId="66A9E2EA"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2EB"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2EC" w14:textId="77777777" w:rsidR="003019DD" w:rsidRPr="003D3592" w:rsidRDefault="003019DD" w:rsidP="00BA50D8">
            <w:pPr>
              <w:pStyle w:val="NoSpacing"/>
              <w:jc w:val="center"/>
              <w:rPr>
                <w:rFonts w:ascii="Times New Roman" w:hAnsi="Times New Roman"/>
                <w:sz w:val="18"/>
                <w:szCs w:val="18"/>
                <w:lang w:val="en-GB"/>
              </w:rPr>
            </w:pPr>
          </w:p>
        </w:tc>
        <w:tc>
          <w:tcPr>
            <w:tcW w:w="762" w:type="dxa"/>
            <w:noWrap/>
          </w:tcPr>
          <w:p w14:paraId="66A9E2ED" w14:textId="77777777" w:rsidR="003019DD" w:rsidRPr="00DF1961" w:rsidRDefault="003019DD" w:rsidP="00BA50D8">
            <w:pPr>
              <w:pStyle w:val="NoSpacing"/>
              <w:jc w:val="center"/>
              <w:rPr>
                <w:rFonts w:ascii="Times New Roman" w:hAnsi="Times New Roman"/>
                <w:sz w:val="18"/>
                <w:szCs w:val="18"/>
                <w:lang w:val="en-GB"/>
              </w:rPr>
            </w:pPr>
          </w:p>
        </w:tc>
      </w:tr>
      <w:tr w:rsidR="003019DD" w:rsidRPr="00BA50D8" w14:paraId="66A9E2F4" w14:textId="77777777" w:rsidTr="00BA50D8">
        <w:tc>
          <w:tcPr>
            <w:tcW w:w="5529" w:type="dxa"/>
            <w:noWrap/>
          </w:tcPr>
          <w:p w14:paraId="66A9E2EF"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put in a big effort to accomplish important goals in my life.</w:t>
            </w:r>
          </w:p>
        </w:tc>
        <w:tc>
          <w:tcPr>
            <w:tcW w:w="708" w:type="dxa"/>
            <w:noWrap/>
          </w:tcPr>
          <w:p w14:paraId="66A9E2F0"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2F1" w14:textId="77777777" w:rsidR="003019DD" w:rsidRPr="00065B92" w:rsidRDefault="003019DD"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0.7</w:t>
            </w:r>
            <w:r w:rsidR="00E62F77">
              <w:rPr>
                <w:rFonts w:ascii="Times New Roman" w:hAnsi="Times New Roman"/>
                <w:sz w:val="18"/>
                <w:szCs w:val="18"/>
                <w:lang w:val="en-GB"/>
              </w:rPr>
              <w:t>6</w:t>
            </w:r>
          </w:p>
        </w:tc>
        <w:tc>
          <w:tcPr>
            <w:tcW w:w="762" w:type="dxa"/>
            <w:noWrap/>
          </w:tcPr>
          <w:p w14:paraId="66A9E2F2" w14:textId="77777777" w:rsidR="003019DD" w:rsidRPr="00DF1961" w:rsidRDefault="003019DD" w:rsidP="00BA50D8">
            <w:pPr>
              <w:pStyle w:val="NoSpacing"/>
              <w:jc w:val="center"/>
              <w:rPr>
                <w:rFonts w:ascii="Times New Roman" w:hAnsi="Times New Roman"/>
                <w:sz w:val="18"/>
                <w:szCs w:val="18"/>
                <w:lang w:val="en-GB"/>
              </w:rPr>
            </w:pPr>
          </w:p>
        </w:tc>
        <w:tc>
          <w:tcPr>
            <w:tcW w:w="762" w:type="dxa"/>
            <w:noWrap/>
          </w:tcPr>
          <w:p w14:paraId="66A9E2F3" w14:textId="77777777" w:rsidR="003019DD" w:rsidRPr="002C28F8" w:rsidRDefault="003019DD" w:rsidP="00BA50D8">
            <w:pPr>
              <w:pStyle w:val="NoSpacing"/>
              <w:jc w:val="center"/>
              <w:rPr>
                <w:rFonts w:ascii="Times New Roman" w:hAnsi="Times New Roman"/>
                <w:sz w:val="18"/>
                <w:szCs w:val="18"/>
                <w:lang w:val="en-GB"/>
              </w:rPr>
            </w:pPr>
          </w:p>
        </w:tc>
      </w:tr>
      <w:tr w:rsidR="003019DD" w:rsidRPr="00BA50D8" w14:paraId="66A9E2FA" w14:textId="77777777" w:rsidTr="00BA50D8">
        <w:tc>
          <w:tcPr>
            <w:tcW w:w="5529" w:type="dxa"/>
            <w:noWrap/>
          </w:tcPr>
          <w:p w14:paraId="66A9E2F5"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am motivated to be successful in my personal life.</w:t>
            </w:r>
          </w:p>
        </w:tc>
        <w:tc>
          <w:tcPr>
            <w:tcW w:w="708" w:type="dxa"/>
            <w:noWrap/>
          </w:tcPr>
          <w:p w14:paraId="66A9E2F6"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2F7" w14:textId="77777777" w:rsidR="003019DD" w:rsidRPr="00065B92" w:rsidRDefault="003019DD"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0.7</w:t>
            </w:r>
            <w:r w:rsidR="00E62F77">
              <w:rPr>
                <w:rFonts w:ascii="Times New Roman" w:hAnsi="Times New Roman"/>
                <w:sz w:val="18"/>
                <w:szCs w:val="18"/>
                <w:lang w:val="en-GB"/>
              </w:rPr>
              <w:t>8</w:t>
            </w:r>
          </w:p>
        </w:tc>
        <w:tc>
          <w:tcPr>
            <w:tcW w:w="762" w:type="dxa"/>
            <w:noWrap/>
          </w:tcPr>
          <w:p w14:paraId="66A9E2F8" w14:textId="77777777" w:rsidR="003019DD" w:rsidRPr="00DF1961" w:rsidRDefault="003019DD" w:rsidP="00BA50D8">
            <w:pPr>
              <w:pStyle w:val="NoSpacing"/>
              <w:jc w:val="center"/>
              <w:rPr>
                <w:rFonts w:ascii="Times New Roman" w:hAnsi="Times New Roman"/>
                <w:sz w:val="18"/>
                <w:szCs w:val="18"/>
                <w:lang w:val="en-GB"/>
              </w:rPr>
            </w:pPr>
          </w:p>
        </w:tc>
        <w:tc>
          <w:tcPr>
            <w:tcW w:w="762" w:type="dxa"/>
            <w:noWrap/>
          </w:tcPr>
          <w:p w14:paraId="66A9E2F9" w14:textId="77777777" w:rsidR="003019DD" w:rsidRPr="002C28F8" w:rsidRDefault="003019DD" w:rsidP="00BA50D8">
            <w:pPr>
              <w:pStyle w:val="NoSpacing"/>
              <w:jc w:val="center"/>
              <w:rPr>
                <w:rFonts w:ascii="Times New Roman" w:hAnsi="Times New Roman"/>
                <w:sz w:val="18"/>
                <w:szCs w:val="18"/>
                <w:lang w:val="en-GB"/>
              </w:rPr>
            </w:pPr>
          </w:p>
        </w:tc>
      </w:tr>
      <w:tr w:rsidR="003019DD" w:rsidRPr="00BA50D8" w14:paraId="66A9E300" w14:textId="77777777" w:rsidTr="00BA50D8">
        <w:tc>
          <w:tcPr>
            <w:tcW w:w="5529" w:type="dxa"/>
            <w:noWrap/>
          </w:tcPr>
          <w:p w14:paraId="66A9E2FB"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often overcome hurdles to achieve my ambitions.</w:t>
            </w:r>
          </w:p>
        </w:tc>
        <w:tc>
          <w:tcPr>
            <w:tcW w:w="708" w:type="dxa"/>
            <w:noWrap/>
          </w:tcPr>
          <w:p w14:paraId="66A9E2FC"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2FD" w14:textId="77777777" w:rsidR="003019DD" w:rsidRPr="00065B92" w:rsidRDefault="003019DD"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0.7</w:t>
            </w:r>
            <w:r w:rsidR="00E62F77">
              <w:rPr>
                <w:rFonts w:ascii="Times New Roman" w:hAnsi="Times New Roman"/>
                <w:sz w:val="18"/>
                <w:szCs w:val="18"/>
                <w:lang w:val="en-GB"/>
              </w:rPr>
              <w:t>2</w:t>
            </w:r>
          </w:p>
        </w:tc>
        <w:tc>
          <w:tcPr>
            <w:tcW w:w="762" w:type="dxa"/>
            <w:noWrap/>
          </w:tcPr>
          <w:p w14:paraId="66A9E2FE" w14:textId="77777777" w:rsidR="003019DD" w:rsidRPr="00DF1961" w:rsidRDefault="003019DD" w:rsidP="00BA50D8">
            <w:pPr>
              <w:pStyle w:val="NoSpacing"/>
              <w:jc w:val="center"/>
              <w:rPr>
                <w:rFonts w:ascii="Times New Roman" w:hAnsi="Times New Roman"/>
                <w:sz w:val="18"/>
                <w:szCs w:val="18"/>
                <w:lang w:val="en-GB"/>
              </w:rPr>
            </w:pPr>
          </w:p>
        </w:tc>
        <w:tc>
          <w:tcPr>
            <w:tcW w:w="762" w:type="dxa"/>
            <w:noWrap/>
          </w:tcPr>
          <w:p w14:paraId="66A9E2FF" w14:textId="77777777" w:rsidR="003019DD" w:rsidRPr="002C28F8" w:rsidRDefault="003019DD" w:rsidP="00BA50D8">
            <w:pPr>
              <w:pStyle w:val="NoSpacing"/>
              <w:jc w:val="center"/>
              <w:rPr>
                <w:rFonts w:ascii="Times New Roman" w:hAnsi="Times New Roman"/>
                <w:sz w:val="18"/>
                <w:szCs w:val="18"/>
                <w:lang w:val="en-GB"/>
              </w:rPr>
            </w:pPr>
          </w:p>
        </w:tc>
      </w:tr>
      <w:tr w:rsidR="003019DD" w:rsidRPr="00BA50D8" w14:paraId="66A9E306" w14:textId="77777777" w:rsidTr="00BA50D8">
        <w:tc>
          <w:tcPr>
            <w:tcW w:w="5529" w:type="dxa"/>
            <w:noWrap/>
          </w:tcPr>
          <w:p w14:paraId="66A9E301"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feel driven to succeed in my chosen career.</w:t>
            </w:r>
          </w:p>
        </w:tc>
        <w:tc>
          <w:tcPr>
            <w:tcW w:w="708" w:type="dxa"/>
            <w:noWrap/>
          </w:tcPr>
          <w:p w14:paraId="66A9E302"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03" w14:textId="77777777" w:rsidR="003019DD" w:rsidRPr="00065B92" w:rsidRDefault="00962EFD"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0.6</w:t>
            </w:r>
            <w:r w:rsidR="00E62F77">
              <w:rPr>
                <w:rFonts w:ascii="Times New Roman" w:hAnsi="Times New Roman"/>
                <w:sz w:val="18"/>
                <w:szCs w:val="18"/>
                <w:lang w:val="en-GB"/>
              </w:rPr>
              <w:t>4</w:t>
            </w:r>
          </w:p>
        </w:tc>
        <w:tc>
          <w:tcPr>
            <w:tcW w:w="762" w:type="dxa"/>
            <w:noWrap/>
          </w:tcPr>
          <w:p w14:paraId="66A9E304" w14:textId="77777777" w:rsidR="003019DD" w:rsidRPr="00DF1961" w:rsidRDefault="003019DD" w:rsidP="00BA50D8">
            <w:pPr>
              <w:pStyle w:val="NoSpacing"/>
              <w:jc w:val="center"/>
              <w:rPr>
                <w:rFonts w:ascii="Times New Roman" w:hAnsi="Times New Roman"/>
                <w:sz w:val="18"/>
                <w:szCs w:val="18"/>
                <w:lang w:val="en-GB"/>
              </w:rPr>
            </w:pPr>
          </w:p>
        </w:tc>
        <w:tc>
          <w:tcPr>
            <w:tcW w:w="762" w:type="dxa"/>
            <w:noWrap/>
          </w:tcPr>
          <w:p w14:paraId="66A9E305" w14:textId="77777777" w:rsidR="003019DD" w:rsidRPr="002C28F8" w:rsidRDefault="003019DD" w:rsidP="00BA50D8">
            <w:pPr>
              <w:pStyle w:val="NoSpacing"/>
              <w:jc w:val="center"/>
              <w:rPr>
                <w:rFonts w:ascii="Times New Roman" w:hAnsi="Times New Roman"/>
                <w:sz w:val="18"/>
                <w:szCs w:val="18"/>
                <w:lang w:val="en-GB"/>
              </w:rPr>
            </w:pPr>
          </w:p>
        </w:tc>
      </w:tr>
      <w:tr w:rsidR="003019DD" w:rsidRPr="00BA50D8" w14:paraId="66A9E30C" w14:textId="77777777" w:rsidTr="00BA50D8">
        <w:tc>
          <w:tcPr>
            <w:tcW w:w="5529" w:type="dxa"/>
            <w:noWrap/>
          </w:tcPr>
          <w:p w14:paraId="66A9E307"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am very persistent in achieving my goals.</w:t>
            </w:r>
          </w:p>
        </w:tc>
        <w:tc>
          <w:tcPr>
            <w:tcW w:w="708" w:type="dxa"/>
            <w:noWrap/>
          </w:tcPr>
          <w:p w14:paraId="66A9E308"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09" w14:textId="77777777" w:rsidR="003019DD" w:rsidRPr="00065B92" w:rsidRDefault="003019DD"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0.8</w:t>
            </w:r>
            <w:r w:rsidR="00E62F77">
              <w:rPr>
                <w:rFonts w:ascii="Times New Roman" w:hAnsi="Times New Roman"/>
                <w:sz w:val="18"/>
                <w:szCs w:val="18"/>
                <w:lang w:val="en-GB"/>
              </w:rPr>
              <w:t>1</w:t>
            </w:r>
          </w:p>
        </w:tc>
        <w:tc>
          <w:tcPr>
            <w:tcW w:w="762" w:type="dxa"/>
            <w:noWrap/>
          </w:tcPr>
          <w:p w14:paraId="66A9E30A" w14:textId="77777777" w:rsidR="003019DD" w:rsidRPr="00DF1961" w:rsidRDefault="003019DD" w:rsidP="00BA50D8">
            <w:pPr>
              <w:pStyle w:val="NoSpacing"/>
              <w:jc w:val="center"/>
              <w:rPr>
                <w:rFonts w:ascii="Times New Roman" w:hAnsi="Times New Roman"/>
                <w:sz w:val="18"/>
                <w:szCs w:val="18"/>
                <w:lang w:val="en-GB"/>
              </w:rPr>
            </w:pPr>
          </w:p>
        </w:tc>
        <w:tc>
          <w:tcPr>
            <w:tcW w:w="762" w:type="dxa"/>
            <w:noWrap/>
          </w:tcPr>
          <w:p w14:paraId="66A9E30B" w14:textId="77777777" w:rsidR="003019DD" w:rsidRPr="002C28F8" w:rsidRDefault="003019DD" w:rsidP="00BA50D8">
            <w:pPr>
              <w:pStyle w:val="NoSpacing"/>
              <w:jc w:val="center"/>
              <w:rPr>
                <w:rFonts w:ascii="Times New Roman" w:hAnsi="Times New Roman"/>
                <w:sz w:val="18"/>
                <w:szCs w:val="18"/>
                <w:lang w:val="en-GB"/>
              </w:rPr>
            </w:pPr>
          </w:p>
        </w:tc>
      </w:tr>
      <w:tr w:rsidR="003019DD" w:rsidRPr="00BA50D8" w14:paraId="66A9E312" w14:textId="77777777" w:rsidTr="00BA50D8">
        <w:tc>
          <w:tcPr>
            <w:tcW w:w="5529" w:type="dxa"/>
            <w:noWrap/>
          </w:tcPr>
          <w:p w14:paraId="66A9E30D" w14:textId="77777777" w:rsidR="003019DD" w:rsidRPr="00BA50D8" w:rsidRDefault="003019DD" w:rsidP="00AD5A84">
            <w:pPr>
              <w:pStyle w:val="NoSpacing"/>
              <w:rPr>
                <w:rFonts w:ascii="Times New Roman" w:hAnsi="Times New Roman"/>
                <w:b/>
                <w:sz w:val="18"/>
                <w:szCs w:val="18"/>
                <w:lang w:val="en-GB"/>
              </w:rPr>
            </w:pPr>
            <w:r w:rsidRPr="00BA50D8">
              <w:rPr>
                <w:rFonts w:ascii="Times New Roman" w:hAnsi="Times New Roman"/>
                <w:b/>
                <w:sz w:val="18"/>
                <w:szCs w:val="18"/>
                <w:lang w:val="en-GB"/>
              </w:rPr>
              <w:t>Goal Planning</w:t>
            </w:r>
          </w:p>
        </w:tc>
        <w:tc>
          <w:tcPr>
            <w:tcW w:w="708" w:type="dxa"/>
            <w:noWrap/>
          </w:tcPr>
          <w:p w14:paraId="66A9E30E"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0F"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10" w14:textId="77777777" w:rsidR="003019DD" w:rsidRPr="003D3592" w:rsidRDefault="003019DD" w:rsidP="00BA50D8">
            <w:pPr>
              <w:pStyle w:val="NoSpacing"/>
              <w:jc w:val="center"/>
              <w:rPr>
                <w:rFonts w:ascii="Times New Roman" w:hAnsi="Times New Roman"/>
                <w:sz w:val="18"/>
                <w:szCs w:val="18"/>
                <w:lang w:val="en-GB"/>
              </w:rPr>
            </w:pPr>
          </w:p>
        </w:tc>
        <w:tc>
          <w:tcPr>
            <w:tcW w:w="762" w:type="dxa"/>
            <w:noWrap/>
          </w:tcPr>
          <w:p w14:paraId="66A9E311" w14:textId="77777777" w:rsidR="003019DD" w:rsidRPr="00DF1961" w:rsidRDefault="003019DD" w:rsidP="00BA50D8">
            <w:pPr>
              <w:pStyle w:val="NoSpacing"/>
              <w:jc w:val="center"/>
              <w:rPr>
                <w:rFonts w:ascii="Times New Roman" w:hAnsi="Times New Roman"/>
                <w:sz w:val="18"/>
                <w:szCs w:val="18"/>
                <w:lang w:val="en-GB"/>
              </w:rPr>
            </w:pPr>
          </w:p>
        </w:tc>
      </w:tr>
      <w:tr w:rsidR="003019DD" w:rsidRPr="00BA50D8" w14:paraId="66A9E318" w14:textId="77777777" w:rsidTr="00BA50D8">
        <w:tc>
          <w:tcPr>
            <w:tcW w:w="5529" w:type="dxa"/>
            <w:noWrap/>
          </w:tcPr>
          <w:p w14:paraId="66A9E313"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think it is necessary to make plans in order to get what you want in life.</w:t>
            </w:r>
          </w:p>
        </w:tc>
        <w:tc>
          <w:tcPr>
            <w:tcW w:w="708" w:type="dxa"/>
            <w:noWrap/>
          </w:tcPr>
          <w:p w14:paraId="66A9E314"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15" w14:textId="77777777" w:rsidR="003019DD" w:rsidRPr="00065B92" w:rsidRDefault="00962EFD"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0.4</w:t>
            </w:r>
            <w:r w:rsidR="00E62F77">
              <w:rPr>
                <w:rFonts w:ascii="Times New Roman" w:hAnsi="Times New Roman"/>
                <w:sz w:val="18"/>
                <w:szCs w:val="18"/>
                <w:lang w:val="en-GB"/>
              </w:rPr>
              <w:t>1</w:t>
            </w:r>
          </w:p>
        </w:tc>
        <w:tc>
          <w:tcPr>
            <w:tcW w:w="762" w:type="dxa"/>
            <w:noWrap/>
          </w:tcPr>
          <w:p w14:paraId="66A9E316" w14:textId="77777777" w:rsidR="003019DD" w:rsidRPr="00DF1961" w:rsidRDefault="003019DD" w:rsidP="00BA50D8">
            <w:pPr>
              <w:pStyle w:val="NoSpacing"/>
              <w:jc w:val="center"/>
              <w:rPr>
                <w:rFonts w:ascii="Times New Roman" w:hAnsi="Times New Roman"/>
                <w:sz w:val="18"/>
                <w:szCs w:val="18"/>
                <w:lang w:val="en-GB"/>
              </w:rPr>
            </w:pPr>
          </w:p>
        </w:tc>
        <w:tc>
          <w:tcPr>
            <w:tcW w:w="762" w:type="dxa"/>
            <w:noWrap/>
          </w:tcPr>
          <w:p w14:paraId="66A9E317" w14:textId="77777777" w:rsidR="003019DD" w:rsidRPr="002C28F8" w:rsidRDefault="003019DD" w:rsidP="00BA50D8">
            <w:pPr>
              <w:pStyle w:val="NoSpacing"/>
              <w:jc w:val="center"/>
              <w:rPr>
                <w:rFonts w:ascii="Times New Roman" w:hAnsi="Times New Roman"/>
                <w:sz w:val="18"/>
                <w:szCs w:val="18"/>
                <w:lang w:val="en-GB"/>
              </w:rPr>
            </w:pPr>
          </w:p>
        </w:tc>
      </w:tr>
      <w:tr w:rsidR="003019DD" w:rsidRPr="00BA50D8" w14:paraId="66A9E31E" w14:textId="77777777" w:rsidTr="00BA50D8">
        <w:tc>
          <w:tcPr>
            <w:tcW w:w="5529" w:type="dxa"/>
            <w:noWrap/>
          </w:tcPr>
          <w:p w14:paraId="66A9E319"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will actively put plans in place to accomplish goals in my life.</w:t>
            </w:r>
          </w:p>
        </w:tc>
        <w:tc>
          <w:tcPr>
            <w:tcW w:w="708" w:type="dxa"/>
            <w:noWrap/>
          </w:tcPr>
          <w:p w14:paraId="66A9E31A"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1B" w14:textId="77777777" w:rsidR="003019DD" w:rsidRPr="00065B92" w:rsidRDefault="003019DD"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0.7</w:t>
            </w:r>
            <w:r w:rsidR="00E62F77">
              <w:rPr>
                <w:rFonts w:ascii="Times New Roman" w:hAnsi="Times New Roman"/>
                <w:sz w:val="18"/>
                <w:szCs w:val="18"/>
                <w:lang w:val="en-GB"/>
              </w:rPr>
              <w:t>6</w:t>
            </w:r>
          </w:p>
        </w:tc>
        <w:tc>
          <w:tcPr>
            <w:tcW w:w="762" w:type="dxa"/>
            <w:noWrap/>
          </w:tcPr>
          <w:p w14:paraId="66A9E31C" w14:textId="77777777" w:rsidR="003019DD" w:rsidRPr="00DF1961" w:rsidRDefault="003019DD" w:rsidP="00BA50D8">
            <w:pPr>
              <w:pStyle w:val="NoSpacing"/>
              <w:jc w:val="center"/>
              <w:rPr>
                <w:rFonts w:ascii="Times New Roman" w:hAnsi="Times New Roman"/>
                <w:sz w:val="18"/>
                <w:szCs w:val="18"/>
                <w:lang w:val="en-GB"/>
              </w:rPr>
            </w:pPr>
          </w:p>
        </w:tc>
        <w:tc>
          <w:tcPr>
            <w:tcW w:w="762" w:type="dxa"/>
            <w:noWrap/>
          </w:tcPr>
          <w:p w14:paraId="66A9E31D" w14:textId="77777777" w:rsidR="003019DD" w:rsidRPr="002C28F8" w:rsidRDefault="003019DD" w:rsidP="00BA50D8">
            <w:pPr>
              <w:pStyle w:val="NoSpacing"/>
              <w:jc w:val="center"/>
              <w:rPr>
                <w:rFonts w:ascii="Times New Roman" w:hAnsi="Times New Roman"/>
                <w:sz w:val="18"/>
                <w:szCs w:val="18"/>
                <w:lang w:val="en-GB"/>
              </w:rPr>
            </w:pPr>
          </w:p>
        </w:tc>
      </w:tr>
      <w:tr w:rsidR="003019DD" w:rsidRPr="00BA50D8" w14:paraId="66A9E324" w14:textId="77777777" w:rsidTr="00BA50D8">
        <w:tc>
          <w:tcPr>
            <w:tcW w:w="5529" w:type="dxa"/>
            <w:noWrap/>
          </w:tcPr>
          <w:p w14:paraId="66A9E31F" w14:textId="77777777" w:rsidR="003019DD" w:rsidRPr="00BA50D8" w:rsidRDefault="003019DD" w:rsidP="00AD5A84">
            <w:pPr>
              <w:pStyle w:val="NoSpacing"/>
              <w:rPr>
                <w:rFonts w:ascii="Times New Roman" w:hAnsi="Times New Roman"/>
                <w:b/>
                <w:sz w:val="18"/>
                <w:szCs w:val="18"/>
                <w:lang w:val="en-GB"/>
              </w:rPr>
            </w:pPr>
            <w:r w:rsidRPr="00BA50D8">
              <w:rPr>
                <w:rFonts w:ascii="Times New Roman" w:hAnsi="Times New Roman"/>
                <w:b/>
                <w:sz w:val="18"/>
                <w:szCs w:val="18"/>
                <w:lang w:val="en-GB"/>
              </w:rPr>
              <w:t>Reward Reactivity</w:t>
            </w:r>
          </w:p>
        </w:tc>
        <w:tc>
          <w:tcPr>
            <w:tcW w:w="708" w:type="dxa"/>
            <w:noWrap/>
          </w:tcPr>
          <w:p w14:paraId="66A9E320"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21"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22" w14:textId="77777777" w:rsidR="003019DD" w:rsidRPr="003D3592" w:rsidRDefault="003019DD" w:rsidP="00BA50D8">
            <w:pPr>
              <w:pStyle w:val="NoSpacing"/>
              <w:jc w:val="center"/>
              <w:rPr>
                <w:rFonts w:ascii="Times New Roman" w:hAnsi="Times New Roman"/>
                <w:sz w:val="18"/>
                <w:szCs w:val="18"/>
                <w:lang w:val="en-GB"/>
              </w:rPr>
            </w:pPr>
          </w:p>
        </w:tc>
        <w:tc>
          <w:tcPr>
            <w:tcW w:w="762" w:type="dxa"/>
            <w:noWrap/>
          </w:tcPr>
          <w:p w14:paraId="66A9E323" w14:textId="77777777" w:rsidR="003019DD" w:rsidRPr="00DF1961" w:rsidRDefault="003019DD" w:rsidP="00BA50D8">
            <w:pPr>
              <w:pStyle w:val="NoSpacing"/>
              <w:jc w:val="center"/>
              <w:rPr>
                <w:rFonts w:ascii="Times New Roman" w:hAnsi="Times New Roman"/>
                <w:sz w:val="18"/>
                <w:szCs w:val="18"/>
                <w:lang w:val="en-GB"/>
              </w:rPr>
            </w:pPr>
          </w:p>
        </w:tc>
      </w:tr>
      <w:tr w:rsidR="003019DD" w:rsidRPr="00BA50D8" w14:paraId="66A9E32A" w14:textId="77777777" w:rsidTr="00BA50D8">
        <w:tc>
          <w:tcPr>
            <w:tcW w:w="5529" w:type="dxa"/>
            <w:noWrap/>
          </w:tcPr>
          <w:p w14:paraId="66A9E325"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am especially sensitive to reward.</w:t>
            </w:r>
          </w:p>
        </w:tc>
        <w:tc>
          <w:tcPr>
            <w:tcW w:w="708" w:type="dxa"/>
            <w:noWrap/>
          </w:tcPr>
          <w:p w14:paraId="66A9E326"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27"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28" w14:textId="77777777" w:rsidR="003019DD" w:rsidRPr="00065B92" w:rsidRDefault="00E62F77" w:rsidP="00BA50D8">
            <w:pPr>
              <w:pStyle w:val="NoSpacing"/>
              <w:jc w:val="center"/>
              <w:rPr>
                <w:rFonts w:ascii="Times New Roman" w:hAnsi="Times New Roman"/>
                <w:sz w:val="18"/>
                <w:szCs w:val="18"/>
                <w:lang w:val="en-GB"/>
              </w:rPr>
            </w:pPr>
            <w:r>
              <w:rPr>
                <w:rFonts w:ascii="Times New Roman" w:hAnsi="Times New Roman"/>
                <w:sz w:val="18"/>
                <w:szCs w:val="18"/>
                <w:lang w:val="en-GB"/>
              </w:rPr>
              <w:t>0.43</w:t>
            </w:r>
          </w:p>
        </w:tc>
        <w:tc>
          <w:tcPr>
            <w:tcW w:w="762" w:type="dxa"/>
            <w:noWrap/>
          </w:tcPr>
          <w:p w14:paraId="66A9E329" w14:textId="77777777" w:rsidR="003019DD" w:rsidRPr="00DF1961" w:rsidRDefault="003019DD" w:rsidP="00BA50D8">
            <w:pPr>
              <w:pStyle w:val="NoSpacing"/>
              <w:jc w:val="center"/>
              <w:rPr>
                <w:rFonts w:ascii="Times New Roman" w:hAnsi="Times New Roman"/>
                <w:sz w:val="18"/>
                <w:szCs w:val="18"/>
                <w:lang w:val="en-GB"/>
              </w:rPr>
            </w:pPr>
          </w:p>
        </w:tc>
      </w:tr>
      <w:tr w:rsidR="003019DD" w:rsidRPr="00BA50D8" w14:paraId="66A9E330" w14:textId="77777777" w:rsidTr="00BA50D8">
        <w:tc>
          <w:tcPr>
            <w:tcW w:w="5529" w:type="dxa"/>
            <w:noWrap/>
          </w:tcPr>
          <w:p w14:paraId="66A9E32B"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Good news makes me feel over-joyed.</w:t>
            </w:r>
          </w:p>
        </w:tc>
        <w:tc>
          <w:tcPr>
            <w:tcW w:w="708" w:type="dxa"/>
            <w:noWrap/>
          </w:tcPr>
          <w:p w14:paraId="66A9E32C"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2D"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2E" w14:textId="77777777" w:rsidR="003019DD" w:rsidRPr="00065B92" w:rsidRDefault="00E62F77" w:rsidP="00BA50D8">
            <w:pPr>
              <w:pStyle w:val="NoSpacing"/>
              <w:jc w:val="center"/>
              <w:rPr>
                <w:rFonts w:ascii="Times New Roman" w:hAnsi="Times New Roman"/>
                <w:sz w:val="18"/>
                <w:szCs w:val="18"/>
                <w:lang w:val="en-GB"/>
              </w:rPr>
            </w:pPr>
            <w:r>
              <w:rPr>
                <w:rFonts w:ascii="Times New Roman" w:hAnsi="Times New Roman"/>
                <w:sz w:val="18"/>
                <w:szCs w:val="18"/>
                <w:lang w:val="en-GB"/>
              </w:rPr>
              <w:t>0.58</w:t>
            </w:r>
          </w:p>
        </w:tc>
        <w:tc>
          <w:tcPr>
            <w:tcW w:w="762" w:type="dxa"/>
            <w:noWrap/>
          </w:tcPr>
          <w:p w14:paraId="66A9E32F" w14:textId="77777777" w:rsidR="003019DD" w:rsidRPr="00DF1961" w:rsidRDefault="003019DD" w:rsidP="00BA50D8">
            <w:pPr>
              <w:pStyle w:val="NoSpacing"/>
              <w:jc w:val="center"/>
              <w:rPr>
                <w:rFonts w:ascii="Times New Roman" w:hAnsi="Times New Roman"/>
                <w:sz w:val="18"/>
                <w:szCs w:val="18"/>
                <w:lang w:val="en-GB"/>
              </w:rPr>
            </w:pPr>
          </w:p>
        </w:tc>
      </w:tr>
      <w:tr w:rsidR="003019DD" w:rsidRPr="00BA50D8" w14:paraId="66A9E336" w14:textId="77777777" w:rsidTr="00BA50D8">
        <w:tc>
          <w:tcPr>
            <w:tcW w:w="5529" w:type="dxa"/>
            <w:noWrap/>
          </w:tcPr>
          <w:p w14:paraId="66A9E331"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love winning competitions.</w:t>
            </w:r>
          </w:p>
        </w:tc>
        <w:tc>
          <w:tcPr>
            <w:tcW w:w="708" w:type="dxa"/>
            <w:noWrap/>
          </w:tcPr>
          <w:p w14:paraId="66A9E332"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33"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34" w14:textId="77777777" w:rsidR="003019DD" w:rsidRPr="00065B92" w:rsidRDefault="00E62F77" w:rsidP="00BA50D8">
            <w:pPr>
              <w:pStyle w:val="NoSpacing"/>
              <w:jc w:val="center"/>
              <w:rPr>
                <w:rFonts w:ascii="Times New Roman" w:hAnsi="Times New Roman"/>
                <w:sz w:val="18"/>
                <w:szCs w:val="18"/>
                <w:lang w:val="en-GB"/>
              </w:rPr>
            </w:pPr>
            <w:r>
              <w:rPr>
                <w:rFonts w:ascii="Times New Roman" w:hAnsi="Times New Roman"/>
                <w:sz w:val="18"/>
                <w:szCs w:val="18"/>
                <w:lang w:val="en-GB"/>
              </w:rPr>
              <w:t>0.68</w:t>
            </w:r>
          </w:p>
        </w:tc>
        <w:tc>
          <w:tcPr>
            <w:tcW w:w="762" w:type="dxa"/>
            <w:noWrap/>
          </w:tcPr>
          <w:p w14:paraId="66A9E335" w14:textId="77777777" w:rsidR="003019DD" w:rsidRPr="00DF1961" w:rsidRDefault="003019DD" w:rsidP="00BA50D8">
            <w:pPr>
              <w:pStyle w:val="NoSpacing"/>
              <w:jc w:val="center"/>
              <w:rPr>
                <w:rFonts w:ascii="Times New Roman" w:hAnsi="Times New Roman"/>
                <w:sz w:val="18"/>
                <w:szCs w:val="18"/>
                <w:lang w:val="en-GB"/>
              </w:rPr>
            </w:pPr>
          </w:p>
        </w:tc>
      </w:tr>
      <w:tr w:rsidR="003019DD" w:rsidRPr="00BA50D8" w14:paraId="66A9E33C" w14:textId="77777777" w:rsidTr="00BA50D8">
        <w:tc>
          <w:tcPr>
            <w:tcW w:w="5529" w:type="dxa"/>
            <w:noWrap/>
          </w:tcPr>
          <w:p w14:paraId="66A9E337"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get a special thrill when I am praised for something I’ve done well.</w:t>
            </w:r>
          </w:p>
        </w:tc>
        <w:tc>
          <w:tcPr>
            <w:tcW w:w="708" w:type="dxa"/>
            <w:noWrap/>
          </w:tcPr>
          <w:p w14:paraId="66A9E338"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39"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3A" w14:textId="77777777" w:rsidR="003019DD" w:rsidRPr="00065B92" w:rsidRDefault="00E62F77" w:rsidP="00BA50D8">
            <w:pPr>
              <w:pStyle w:val="NoSpacing"/>
              <w:jc w:val="center"/>
              <w:rPr>
                <w:rFonts w:ascii="Times New Roman" w:hAnsi="Times New Roman"/>
                <w:sz w:val="18"/>
                <w:szCs w:val="18"/>
                <w:lang w:val="en-GB"/>
              </w:rPr>
            </w:pPr>
            <w:r>
              <w:rPr>
                <w:rFonts w:ascii="Times New Roman" w:hAnsi="Times New Roman"/>
                <w:sz w:val="18"/>
                <w:szCs w:val="18"/>
                <w:lang w:val="en-GB"/>
              </w:rPr>
              <w:t>0.61</w:t>
            </w:r>
          </w:p>
        </w:tc>
        <w:tc>
          <w:tcPr>
            <w:tcW w:w="762" w:type="dxa"/>
            <w:noWrap/>
          </w:tcPr>
          <w:p w14:paraId="66A9E33B" w14:textId="77777777" w:rsidR="003019DD" w:rsidRPr="00DF1961" w:rsidRDefault="003019DD" w:rsidP="00BA50D8">
            <w:pPr>
              <w:pStyle w:val="NoSpacing"/>
              <w:jc w:val="center"/>
              <w:rPr>
                <w:rFonts w:ascii="Times New Roman" w:hAnsi="Times New Roman"/>
                <w:sz w:val="18"/>
                <w:szCs w:val="18"/>
                <w:lang w:val="en-GB"/>
              </w:rPr>
            </w:pPr>
          </w:p>
        </w:tc>
      </w:tr>
      <w:tr w:rsidR="003019DD" w:rsidRPr="00BA50D8" w14:paraId="66A9E342" w14:textId="77777777" w:rsidTr="00BA50D8">
        <w:tc>
          <w:tcPr>
            <w:tcW w:w="5529" w:type="dxa"/>
            <w:noWrap/>
          </w:tcPr>
          <w:p w14:paraId="66A9E33D"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get very excited when I get what I want.</w:t>
            </w:r>
          </w:p>
        </w:tc>
        <w:tc>
          <w:tcPr>
            <w:tcW w:w="708" w:type="dxa"/>
            <w:noWrap/>
          </w:tcPr>
          <w:p w14:paraId="66A9E33E"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3F"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40" w14:textId="77777777" w:rsidR="003019DD" w:rsidRPr="00065B92" w:rsidRDefault="00E62F77" w:rsidP="00BA50D8">
            <w:pPr>
              <w:pStyle w:val="NoSpacing"/>
              <w:jc w:val="center"/>
              <w:rPr>
                <w:rFonts w:ascii="Times New Roman" w:hAnsi="Times New Roman"/>
                <w:sz w:val="18"/>
                <w:szCs w:val="18"/>
                <w:lang w:val="en-GB"/>
              </w:rPr>
            </w:pPr>
            <w:r>
              <w:rPr>
                <w:rFonts w:ascii="Times New Roman" w:hAnsi="Times New Roman"/>
                <w:sz w:val="18"/>
                <w:szCs w:val="18"/>
                <w:lang w:val="en-GB"/>
              </w:rPr>
              <w:t>0.76</w:t>
            </w:r>
          </w:p>
        </w:tc>
        <w:tc>
          <w:tcPr>
            <w:tcW w:w="762" w:type="dxa"/>
            <w:noWrap/>
          </w:tcPr>
          <w:p w14:paraId="66A9E341" w14:textId="77777777" w:rsidR="003019DD" w:rsidRPr="00DF1961" w:rsidRDefault="003019DD" w:rsidP="00BA50D8">
            <w:pPr>
              <w:pStyle w:val="NoSpacing"/>
              <w:jc w:val="center"/>
              <w:rPr>
                <w:rFonts w:ascii="Times New Roman" w:hAnsi="Times New Roman"/>
                <w:sz w:val="18"/>
                <w:szCs w:val="18"/>
                <w:lang w:val="en-GB"/>
              </w:rPr>
            </w:pPr>
          </w:p>
        </w:tc>
      </w:tr>
      <w:tr w:rsidR="003019DD" w:rsidRPr="00BA50D8" w14:paraId="66A9E348" w14:textId="77777777" w:rsidTr="00BA50D8">
        <w:tc>
          <w:tcPr>
            <w:tcW w:w="5529" w:type="dxa"/>
            <w:noWrap/>
          </w:tcPr>
          <w:p w14:paraId="66A9E343"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always celebrate when I accomplish something important.</w:t>
            </w:r>
          </w:p>
        </w:tc>
        <w:tc>
          <w:tcPr>
            <w:tcW w:w="708" w:type="dxa"/>
            <w:noWrap/>
          </w:tcPr>
          <w:p w14:paraId="66A9E344"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45"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46" w14:textId="77777777" w:rsidR="003019DD" w:rsidRPr="00065B92" w:rsidRDefault="00E62F77" w:rsidP="00BA50D8">
            <w:pPr>
              <w:pStyle w:val="NoSpacing"/>
              <w:jc w:val="center"/>
              <w:rPr>
                <w:rFonts w:ascii="Times New Roman" w:hAnsi="Times New Roman"/>
                <w:sz w:val="18"/>
                <w:szCs w:val="18"/>
                <w:lang w:val="en-GB"/>
              </w:rPr>
            </w:pPr>
            <w:r>
              <w:rPr>
                <w:rFonts w:ascii="Times New Roman" w:hAnsi="Times New Roman"/>
                <w:sz w:val="18"/>
                <w:szCs w:val="18"/>
                <w:lang w:val="en-GB"/>
              </w:rPr>
              <w:t>0.47</w:t>
            </w:r>
          </w:p>
        </w:tc>
        <w:tc>
          <w:tcPr>
            <w:tcW w:w="762" w:type="dxa"/>
            <w:noWrap/>
          </w:tcPr>
          <w:p w14:paraId="66A9E347" w14:textId="77777777" w:rsidR="003019DD" w:rsidRPr="00DF1961" w:rsidRDefault="003019DD" w:rsidP="00BA50D8">
            <w:pPr>
              <w:pStyle w:val="NoSpacing"/>
              <w:jc w:val="center"/>
              <w:rPr>
                <w:rFonts w:ascii="Times New Roman" w:hAnsi="Times New Roman"/>
                <w:sz w:val="18"/>
                <w:szCs w:val="18"/>
                <w:lang w:val="en-GB"/>
              </w:rPr>
            </w:pPr>
          </w:p>
        </w:tc>
      </w:tr>
      <w:tr w:rsidR="003019DD" w:rsidRPr="00BA50D8" w14:paraId="66A9E34E" w14:textId="77777777" w:rsidTr="00BA50D8">
        <w:tc>
          <w:tcPr>
            <w:tcW w:w="5529" w:type="dxa"/>
            <w:noWrap/>
          </w:tcPr>
          <w:p w14:paraId="66A9E349"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find myself reacting strongly to pleasurable things in life.</w:t>
            </w:r>
          </w:p>
        </w:tc>
        <w:tc>
          <w:tcPr>
            <w:tcW w:w="708" w:type="dxa"/>
            <w:noWrap/>
          </w:tcPr>
          <w:p w14:paraId="66A9E34A"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4B"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4C" w14:textId="77777777" w:rsidR="003019DD" w:rsidRPr="00065B92" w:rsidRDefault="00CB5F64"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0.6</w:t>
            </w:r>
            <w:r w:rsidR="00E62F77">
              <w:rPr>
                <w:rFonts w:ascii="Times New Roman" w:hAnsi="Times New Roman"/>
                <w:sz w:val="18"/>
                <w:szCs w:val="18"/>
                <w:lang w:val="en-GB"/>
              </w:rPr>
              <w:t>0</w:t>
            </w:r>
          </w:p>
        </w:tc>
        <w:tc>
          <w:tcPr>
            <w:tcW w:w="762" w:type="dxa"/>
            <w:noWrap/>
          </w:tcPr>
          <w:p w14:paraId="66A9E34D" w14:textId="77777777" w:rsidR="003019DD" w:rsidRPr="00DF1961" w:rsidRDefault="003019DD" w:rsidP="00BA50D8">
            <w:pPr>
              <w:pStyle w:val="NoSpacing"/>
              <w:jc w:val="center"/>
              <w:rPr>
                <w:rFonts w:ascii="Times New Roman" w:hAnsi="Times New Roman"/>
                <w:sz w:val="18"/>
                <w:szCs w:val="18"/>
                <w:lang w:val="en-GB"/>
              </w:rPr>
            </w:pPr>
          </w:p>
        </w:tc>
      </w:tr>
      <w:tr w:rsidR="003019DD" w:rsidRPr="00BA50D8" w14:paraId="66A9E354" w14:textId="77777777" w:rsidTr="00BA50D8">
        <w:tc>
          <w:tcPr>
            <w:tcW w:w="5529" w:type="dxa"/>
            <w:noWrap/>
          </w:tcPr>
          <w:p w14:paraId="66A9E34F"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 xml:space="preserve">I often feel that I am on an emotional high. </w:t>
            </w:r>
          </w:p>
        </w:tc>
        <w:tc>
          <w:tcPr>
            <w:tcW w:w="708" w:type="dxa"/>
            <w:noWrap/>
          </w:tcPr>
          <w:p w14:paraId="66A9E350"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51"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52" w14:textId="77777777" w:rsidR="003019DD" w:rsidRPr="00065B92" w:rsidRDefault="00E62F77" w:rsidP="00BA50D8">
            <w:pPr>
              <w:pStyle w:val="NoSpacing"/>
              <w:jc w:val="center"/>
              <w:rPr>
                <w:rFonts w:ascii="Times New Roman" w:hAnsi="Times New Roman"/>
                <w:sz w:val="18"/>
                <w:szCs w:val="18"/>
                <w:lang w:val="en-GB"/>
              </w:rPr>
            </w:pPr>
            <w:r>
              <w:rPr>
                <w:rFonts w:ascii="Times New Roman" w:hAnsi="Times New Roman"/>
                <w:sz w:val="18"/>
                <w:szCs w:val="18"/>
                <w:lang w:val="en-GB"/>
              </w:rPr>
              <w:t>0.45</w:t>
            </w:r>
          </w:p>
        </w:tc>
        <w:tc>
          <w:tcPr>
            <w:tcW w:w="762" w:type="dxa"/>
            <w:noWrap/>
          </w:tcPr>
          <w:p w14:paraId="66A9E353" w14:textId="77777777" w:rsidR="003019DD" w:rsidRPr="00DF1961" w:rsidRDefault="003019DD" w:rsidP="00BA50D8">
            <w:pPr>
              <w:pStyle w:val="NoSpacing"/>
              <w:jc w:val="center"/>
              <w:rPr>
                <w:rFonts w:ascii="Times New Roman" w:hAnsi="Times New Roman"/>
                <w:sz w:val="18"/>
                <w:szCs w:val="18"/>
                <w:lang w:val="en-GB"/>
              </w:rPr>
            </w:pPr>
          </w:p>
        </w:tc>
      </w:tr>
      <w:tr w:rsidR="003019DD" w:rsidRPr="00BA50D8" w14:paraId="66A9E35A" w14:textId="77777777" w:rsidTr="00BA50D8">
        <w:tc>
          <w:tcPr>
            <w:tcW w:w="5529" w:type="dxa"/>
            <w:noWrap/>
          </w:tcPr>
          <w:p w14:paraId="66A9E355"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Sometimes even little things in life can give me great pleasure.</w:t>
            </w:r>
          </w:p>
        </w:tc>
        <w:tc>
          <w:tcPr>
            <w:tcW w:w="708" w:type="dxa"/>
            <w:noWrap/>
          </w:tcPr>
          <w:p w14:paraId="66A9E356"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57"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58" w14:textId="77777777" w:rsidR="003019DD" w:rsidRPr="00065B92" w:rsidRDefault="003019DD"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0.4</w:t>
            </w:r>
            <w:r w:rsidR="00E62F77">
              <w:rPr>
                <w:rFonts w:ascii="Times New Roman" w:hAnsi="Times New Roman"/>
                <w:sz w:val="18"/>
                <w:szCs w:val="18"/>
                <w:lang w:val="en-GB"/>
              </w:rPr>
              <w:t>7</w:t>
            </w:r>
          </w:p>
        </w:tc>
        <w:tc>
          <w:tcPr>
            <w:tcW w:w="762" w:type="dxa"/>
            <w:noWrap/>
          </w:tcPr>
          <w:p w14:paraId="66A9E359" w14:textId="77777777" w:rsidR="003019DD" w:rsidRPr="00DF1961" w:rsidRDefault="003019DD" w:rsidP="00BA50D8">
            <w:pPr>
              <w:pStyle w:val="NoSpacing"/>
              <w:jc w:val="center"/>
              <w:rPr>
                <w:rFonts w:ascii="Times New Roman" w:hAnsi="Times New Roman"/>
                <w:sz w:val="18"/>
                <w:szCs w:val="18"/>
                <w:lang w:val="en-GB"/>
              </w:rPr>
            </w:pPr>
          </w:p>
        </w:tc>
      </w:tr>
      <w:tr w:rsidR="003019DD" w:rsidRPr="00BA50D8" w14:paraId="66A9E360" w14:textId="77777777" w:rsidTr="00BA50D8">
        <w:tc>
          <w:tcPr>
            <w:tcW w:w="5529" w:type="dxa"/>
            <w:noWrap/>
          </w:tcPr>
          <w:p w14:paraId="66A9E35B"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often experience a surge of pleasure running through my body.</w:t>
            </w:r>
          </w:p>
        </w:tc>
        <w:tc>
          <w:tcPr>
            <w:tcW w:w="708" w:type="dxa"/>
            <w:noWrap/>
          </w:tcPr>
          <w:p w14:paraId="66A9E35C"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5D"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5E" w14:textId="77777777" w:rsidR="003019DD" w:rsidRPr="00065B92" w:rsidRDefault="00E62F77" w:rsidP="00BA50D8">
            <w:pPr>
              <w:pStyle w:val="NoSpacing"/>
              <w:jc w:val="center"/>
              <w:rPr>
                <w:rFonts w:ascii="Times New Roman" w:hAnsi="Times New Roman"/>
                <w:sz w:val="18"/>
                <w:szCs w:val="18"/>
                <w:lang w:val="en-GB"/>
              </w:rPr>
            </w:pPr>
            <w:r>
              <w:rPr>
                <w:rFonts w:ascii="Times New Roman" w:hAnsi="Times New Roman"/>
                <w:sz w:val="18"/>
                <w:szCs w:val="18"/>
                <w:lang w:val="en-GB"/>
              </w:rPr>
              <w:t>0.68</w:t>
            </w:r>
          </w:p>
        </w:tc>
        <w:tc>
          <w:tcPr>
            <w:tcW w:w="762" w:type="dxa"/>
            <w:noWrap/>
          </w:tcPr>
          <w:p w14:paraId="66A9E35F" w14:textId="77777777" w:rsidR="003019DD" w:rsidRPr="00DF1961" w:rsidRDefault="003019DD" w:rsidP="00BA50D8">
            <w:pPr>
              <w:pStyle w:val="NoSpacing"/>
              <w:jc w:val="center"/>
              <w:rPr>
                <w:rFonts w:ascii="Times New Roman" w:hAnsi="Times New Roman"/>
                <w:sz w:val="18"/>
                <w:szCs w:val="18"/>
                <w:lang w:val="en-GB"/>
              </w:rPr>
            </w:pPr>
          </w:p>
        </w:tc>
      </w:tr>
      <w:tr w:rsidR="003019DD" w:rsidRPr="00BA50D8" w14:paraId="66A9E366" w14:textId="77777777" w:rsidTr="00BA50D8">
        <w:tc>
          <w:tcPr>
            <w:tcW w:w="5529" w:type="dxa"/>
            <w:noWrap/>
          </w:tcPr>
          <w:p w14:paraId="66A9E361" w14:textId="77777777" w:rsidR="003019DD" w:rsidRPr="00BA50D8" w:rsidRDefault="003019DD" w:rsidP="00AD5A84">
            <w:pPr>
              <w:pStyle w:val="NoSpacing"/>
              <w:rPr>
                <w:rFonts w:ascii="Times New Roman" w:hAnsi="Times New Roman"/>
                <w:b/>
                <w:sz w:val="18"/>
                <w:szCs w:val="18"/>
                <w:lang w:val="en-GB"/>
              </w:rPr>
            </w:pPr>
            <w:r w:rsidRPr="00BA50D8">
              <w:rPr>
                <w:rFonts w:ascii="Times New Roman" w:hAnsi="Times New Roman"/>
                <w:b/>
                <w:sz w:val="18"/>
                <w:szCs w:val="18"/>
                <w:lang w:val="en-GB"/>
              </w:rPr>
              <w:t>Impulsivity</w:t>
            </w:r>
          </w:p>
        </w:tc>
        <w:tc>
          <w:tcPr>
            <w:tcW w:w="708" w:type="dxa"/>
            <w:noWrap/>
          </w:tcPr>
          <w:p w14:paraId="66A9E362"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63"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64" w14:textId="77777777" w:rsidR="003019DD" w:rsidRPr="003D3592" w:rsidRDefault="003019DD" w:rsidP="00BA50D8">
            <w:pPr>
              <w:pStyle w:val="NoSpacing"/>
              <w:jc w:val="center"/>
              <w:rPr>
                <w:rFonts w:ascii="Times New Roman" w:hAnsi="Times New Roman"/>
                <w:sz w:val="18"/>
                <w:szCs w:val="18"/>
                <w:lang w:val="en-GB"/>
              </w:rPr>
            </w:pPr>
          </w:p>
        </w:tc>
        <w:tc>
          <w:tcPr>
            <w:tcW w:w="762" w:type="dxa"/>
            <w:noWrap/>
          </w:tcPr>
          <w:p w14:paraId="66A9E365" w14:textId="77777777" w:rsidR="003019DD" w:rsidRPr="00DF1961" w:rsidRDefault="003019DD" w:rsidP="00BA50D8">
            <w:pPr>
              <w:pStyle w:val="NoSpacing"/>
              <w:jc w:val="center"/>
              <w:rPr>
                <w:rFonts w:ascii="Times New Roman" w:hAnsi="Times New Roman"/>
                <w:sz w:val="18"/>
                <w:szCs w:val="18"/>
                <w:lang w:val="en-GB"/>
              </w:rPr>
            </w:pPr>
          </w:p>
        </w:tc>
      </w:tr>
      <w:tr w:rsidR="003019DD" w:rsidRPr="00BA50D8" w14:paraId="66A9E36C" w14:textId="77777777" w:rsidTr="00BA50D8">
        <w:tc>
          <w:tcPr>
            <w:tcW w:w="5529" w:type="dxa"/>
            <w:noWrap/>
          </w:tcPr>
          <w:p w14:paraId="66A9E367"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think I should ‘stop and think’ more instead of jumping into things too quickly.</w:t>
            </w:r>
          </w:p>
        </w:tc>
        <w:tc>
          <w:tcPr>
            <w:tcW w:w="708" w:type="dxa"/>
            <w:noWrap/>
          </w:tcPr>
          <w:p w14:paraId="66A9E368"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69"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6A" w14:textId="77777777" w:rsidR="003019DD" w:rsidRPr="003D3592" w:rsidRDefault="003019DD" w:rsidP="00BA50D8">
            <w:pPr>
              <w:pStyle w:val="NoSpacing"/>
              <w:jc w:val="center"/>
              <w:rPr>
                <w:rFonts w:ascii="Times New Roman" w:hAnsi="Times New Roman"/>
                <w:sz w:val="18"/>
                <w:szCs w:val="18"/>
                <w:lang w:val="en-GB"/>
              </w:rPr>
            </w:pPr>
          </w:p>
        </w:tc>
        <w:tc>
          <w:tcPr>
            <w:tcW w:w="762" w:type="dxa"/>
            <w:noWrap/>
          </w:tcPr>
          <w:p w14:paraId="66A9E36B" w14:textId="77777777" w:rsidR="003019DD" w:rsidRPr="00065B92" w:rsidRDefault="00CB5F64"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0.4</w:t>
            </w:r>
            <w:r w:rsidR="00E62F77">
              <w:rPr>
                <w:rFonts w:ascii="Times New Roman" w:hAnsi="Times New Roman"/>
                <w:sz w:val="18"/>
                <w:szCs w:val="18"/>
                <w:lang w:val="en-GB"/>
              </w:rPr>
              <w:t>8</w:t>
            </w:r>
          </w:p>
        </w:tc>
      </w:tr>
      <w:tr w:rsidR="003019DD" w:rsidRPr="00BA50D8" w14:paraId="66A9E372" w14:textId="77777777" w:rsidTr="00BA50D8">
        <w:tc>
          <w:tcPr>
            <w:tcW w:w="5529" w:type="dxa"/>
            <w:noWrap/>
          </w:tcPr>
          <w:p w14:paraId="66A9E36D"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sometimes cannot stop myself talking when I know I should keep my mouth closed.</w:t>
            </w:r>
          </w:p>
        </w:tc>
        <w:tc>
          <w:tcPr>
            <w:tcW w:w="708" w:type="dxa"/>
            <w:noWrap/>
          </w:tcPr>
          <w:p w14:paraId="66A9E36E"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6F"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70" w14:textId="77777777" w:rsidR="003019DD" w:rsidRPr="003D3592" w:rsidRDefault="003019DD" w:rsidP="00BA50D8">
            <w:pPr>
              <w:pStyle w:val="NoSpacing"/>
              <w:jc w:val="center"/>
              <w:rPr>
                <w:rFonts w:ascii="Times New Roman" w:hAnsi="Times New Roman"/>
                <w:sz w:val="18"/>
                <w:szCs w:val="18"/>
                <w:lang w:val="en-GB"/>
              </w:rPr>
            </w:pPr>
          </w:p>
        </w:tc>
        <w:tc>
          <w:tcPr>
            <w:tcW w:w="762" w:type="dxa"/>
            <w:noWrap/>
          </w:tcPr>
          <w:p w14:paraId="66A9E371" w14:textId="77777777" w:rsidR="003019DD" w:rsidRPr="00065B92" w:rsidRDefault="003019DD"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0.4</w:t>
            </w:r>
            <w:r w:rsidR="00E62F77">
              <w:rPr>
                <w:rFonts w:ascii="Times New Roman" w:hAnsi="Times New Roman"/>
                <w:sz w:val="18"/>
                <w:szCs w:val="18"/>
                <w:lang w:val="en-GB"/>
              </w:rPr>
              <w:t>4</w:t>
            </w:r>
          </w:p>
        </w:tc>
      </w:tr>
      <w:tr w:rsidR="003019DD" w:rsidRPr="00BA50D8" w14:paraId="66A9E378" w14:textId="77777777" w:rsidTr="00BA50D8">
        <w:tc>
          <w:tcPr>
            <w:tcW w:w="5529" w:type="dxa"/>
            <w:noWrap/>
          </w:tcPr>
          <w:p w14:paraId="66A9E373"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often do risky things without thinking of the consequences.</w:t>
            </w:r>
          </w:p>
        </w:tc>
        <w:tc>
          <w:tcPr>
            <w:tcW w:w="708" w:type="dxa"/>
            <w:noWrap/>
          </w:tcPr>
          <w:p w14:paraId="66A9E374"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75"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76" w14:textId="77777777" w:rsidR="003019DD" w:rsidRPr="003D3592" w:rsidRDefault="003019DD" w:rsidP="00BA50D8">
            <w:pPr>
              <w:pStyle w:val="NoSpacing"/>
              <w:jc w:val="center"/>
              <w:rPr>
                <w:rFonts w:ascii="Times New Roman" w:hAnsi="Times New Roman"/>
                <w:sz w:val="18"/>
                <w:szCs w:val="18"/>
                <w:lang w:val="en-GB"/>
              </w:rPr>
            </w:pPr>
          </w:p>
        </w:tc>
        <w:tc>
          <w:tcPr>
            <w:tcW w:w="762" w:type="dxa"/>
            <w:noWrap/>
          </w:tcPr>
          <w:p w14:paraId="66A9E377" w14:textId="77777777" w:rsidR="003019DD" w:rsidRPr="00065B92" w:rsidRDefault="00E62F77" w:rsidP="00BA50D8">
            <w:pPr>
              <w:pStyle w:val="NoSpacing"/>
              <w:jc w:val="center"/>
              <w:rPr>
                <w:rFonts w:ascii="Times New Roman" w:hAnsi="Times New Roman"/>
                <w:sz w:val="18"/>
                <w:szCs w:val="18"/>
                <w:lang w:val="en-GB"/>
              </w:rPr>
            </w:pPr>
            <w:r>
              <w:rPr>
                <w:rFonts w:ascii="Times New Roman" w:hAnsi="Times New Roman"/>
                <w:sz w:val="18"/>
                <w:szCs w:val="18"/>
                <w:lang w:val="en-GB"/>
              </w:rPr>
              <w:t>0.60</w:t>
            </w:r>
          </w:p>
        </w:tc>
      </w:tr>
      <w:tr w:rsidR="003019DD" w:rsidRPr="00BA50D8" w14:paraId="66A9E37E" w14:textId="77777777" w:rsidTr="00BA50D8">
        <w:tc>
          <w:tcPr>
            <w:tcW w:w="5529" w:type="dxa"/>
            <w:noWrap/>
          </w:tcPr>
          <w:p w14:paraId="66A9E379"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find myself doing things on the spur of the moment.</w:t>
            </w:r>
          </w:p>
        </w:tc>
        <w:tc>
          <w:tcPr>
            <w:tcW w:w="708" w:type="dxa"/>
            <w:noWrap/>
          </w:tcPr>
          <w:p w14:paraId="66A9E37A"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7B"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7C" w14:textId="77777777" w:rsidR="003019DD" w:rsidRPr="003D3592" w:rsidRDefault="003019DD" w:rsidP="00BA50D8">
            <w:pPr>
              <w:pStyle w:val="NoSpacing"/>
              <w:jc w:val="center"/>
              <w:rPr>
                <w:rFonts w:ascii="Times New Roman" w:hAnsi="Times New Roman"/>
                <w:sz w:val="18"/>
                <w:szCs w:val="18"/>
                <w:lang w:val="en-GB"/>
              </w:rPr>
            </w:pPr>
          </w:p>
        </w:tc>
        <w:tc>
          <w:tcPr>
            <w:tcW w:w="762" w:type="dxa"/>
            <w:noWrap/>
          </w:tcPr>
          <w:p w14:paraId="66A9E37D" w14:textId="77777777" w:rsidR="003019DD" w:rsidRPr="00065B92" w:rsidRDefault="00E62F77" w:rsidP="00BA50D8">
            <w:pPr>
              <w:pStyle w:val="NoSpacing"/>
              <w:jc w:val="center"/>
              <w:rPr>
                <w:rFonts w:ascii="Times New Roman" w:hAnsi="Times New Roman"/>
                <w:sz w:val="18"/>
                <w:szCs w:val="18"/>
                <w:lang w:val="en-GB"/>
              </w:rPr>
            </w:pPr>
            <w:r>
              <w:rPr>
                <w:rFonts w:ascii="Times New Roman" w:hAnsi="Times New Roman"/>
                <w:sz w:val="18"/>
                <w:szCs w:val="18"/>
                <w:lang w:val="en-GB"/>
              </w:rPr>
              <w:t>0.65</w:t>
            </w:r>
          </w:p>
        </w:tc>
      </w:tr>
      <w:tr w:rsidR="003019DD" w:rsidRPr="00BA50D8" w14:paraId="66A9E384" w14:textId="77777777" w:rsidTr="00BA50D8">
        <w:tc>
          <w:tcPr>
            <w:tcW w:w="5529" w:type="dxa"/>
            <w:noWrap/>
          </w:tcPr>
          <w:p w14:paraId="66A9E37F"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I’m always buying things on impulse.</w:t>
            </w:r>
          </w:p>
        </w:tc>
        <w:tc>
          <w:tcPr>
            <w:tcW w:w="708" w:type="dxa"/>
            <w:noWrap/>
          </w:tcPr>
          <w:p w14:paraId="66A9E380"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81"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82" w14:textId="77777777" w:rsidR="003019DD" w:rsidRPr="003D3592" w:rsidRDefault="003019DD" w:rsidP="00BA50D8">
            <w:pPr>
              <w:pStyle w:val="NoSpacing"/>
              <w:jc w:val="center"/>
              <w:rPr>
                <w:rFonts w:ascii="Times New Roman" w:hAnsi="Times New Roman"/>
                <w:sz w:val="18"/>
                <w:szCs w:val="18"/>
                <w:lang w:val="en-GB"/>
              </w:rPr>
            </w:pPr>
          </w:p>
        </w:tc>
        <w:tc>
          <w:tcPr>
            <w:tcW w:w="762" w:type="dxa"/>
            <w:noWrap/>
          </w:tcPr>
          <w:p w14:paraId="66A9E383" w14:textId="77777777" w:rsidR="003019DD" w:rsidRPr="00065B92" w:rsidRDefault="00E62F77" w:rsidP="00BA50D8">
            <w:pPr>
              <w:pStyle w:val="NoSpacing"/>
              <w:jc w:val="center"/>
              <w:rPr>
                <w:rFonts w:ascii="Times New Roman" w:hAnsi="Times New Roman"/>
                <w:sz w:val="18"/>
                <w:szCs w:val="18"/>
                <w:lang w:val="en-GB"/>
              </w:rPr>
            </w:pPr>
            <w:r>
              <w:rPr>
                <w:rFonts w:ascii="Times New Roman" w:hAnsi="Times New Roman"/>
                <w:sz w:val="18"/>
                <w:szCs w:val="18"/>
                <w:lang w:val="en-GB"/>
              </w:rPr>
              <w:t>0.50</w:t>
            </w:r>
          </w:p>
        </w:tc>
      </w:tr>
      <w:tr w:rsidR="003019DD" w:rsidRPr="00BA50D8" w14:paraId="66A9E38A" w14:textId="77777777" w:rsidTr="00BA50D8">
        <w:tc>
          <w:tcPr>
            <w:tcW w:w="5529" w:type="dxa"/>
            <w:noWrap/>
          </w:tcPr>
          <w:p w14:paraId="66A9E385"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would go on a holiday at the last minute.</w:t>
            </w:r>
          </w:p>
        </w:tc>
        <w:tc>
          <w:tcPr>
            <w:tcW w:w="708" w:type="dxa"/>
            <w:noWrap/>
          </w:tcPr>
          <w:p w14:paraId="66A9E386"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87"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88" w14:textId="77777777" w:rsidR="003019DD" w:rsidRPr="003D3592" w:rsidRDefault="003019DD" w:rsidP="00BA50D8">
            <w:pPr>
              <w:pStyle w:val="NoSpacing"/>
              <w:jc w:val="center"/>
              <w:rPr>
                <w:rFonts w:ascii="Times New Roman" w:hAnsi="Times New Roman"/>
                <w:sz w:val="18"/>
                <w:szCs w:val="18"/>
                <w:lang w:val="en-GB"/>
              </w:rPr>
            </w:pPr>
          </w:p>
        </w:tc>
        <w:tc>
          <w:tcPr>
            <w:tcW w:w="762" w:type="dxa"/>
            <w:noWrap/>
          </w:tcPr>
          <w:p w14:paraId="66A9E389" w14:textId="77777777" w:rsidR="003019DD" w:rsidRPr="00065B92" w:rsidRDefault="00E62F77" w:rsidP="00BA50D8">
            <w:pPr>
              <w:pStyle w:val="NoSpacing"/>
              <w:jc w:val="center"/>
              <w:rPr>
                <w:rFonts w:ascii="Times New Roman" w:hAnsi="Times New Roman"/>
                <w:sz w:val="18"/>
                <w:szCs w:val="18"/>
                <w:lang w:val="en-GB"/>
              </w:rPr>
            </w:pPr>
            <w:r>
              <w:rPr>
                <w:rFonts w:ascii="Times New Roman" w:hAnsi="Times New Roman"/>
                <w:sz w:val="18"/>
                <w:szCs w:val="18"/>
                <w:lang w:val="en-GB"/>
              </w:rPr>
              <w:t>0.50</w:t>
            </w:r>
          </w:p>
        </w:tc>
      </w:tr>
      <w:tr w:rsidR="003019DD" w:rsidRPr="00BA50D8" w14:paraId="66A9E390" w14:textId="77777777" w:rsidTr="00BA50D8">
        <w:tc>
          <w:tcPr>
            <w:tcW w:w="5529" w:type="dxa"/>
            <w:noWrap/>
          </w:tcPr>
          <w:p w14:paraId="66A9E38B"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 think the best nights out are unplanned.</w:t>
            </w:r>
          </w:p>
        </w:tc>
        <w:tc>
          <w:tcPr>
            <w:tcW w:w="708" w:type="dxa"/>
            <w:noWrap/>
          </w:tcPr>
          <w:p w14:paraId="66A9E38C"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8D"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8E" w14:textId="77777777" w:rsidR="003019DD" w:rsidRPr="003D3592" w:rsidRDefault="003019DD" w:rsidP="00BA50D8">
            <w:pPr>
              <w:pStyle w:val="NoSpacing"/>
              <w:jc w:val="center"/>
              <w:rPr>
                <w:rFonts w:ascii="Times New Roman" w:hAnsi="Times New Roman"/>
                <w:sz w:val="18"/>
                <w:szCs w:val="18"/>
                <w:lang w:val="en-GB"/>
              </w:rPr>
            </w:pPr>
          </w:p>
        </w:tc>
        <w:tc>
          <w:tcPr>
            <w:tcW w:w="762" w:type="dxa"/>
            <w:noWrap/>
          </w:tcPr>
          <w:p w14:paraId="66A9E38F" w14:textId="77777777" w:rsidR="003019DD" w:rsidRPr="00065B92" w:rsidRDefault="00EB2D6C"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0.3</w:t>
            </w:r>
            <w:r w:rsidR="00E62F77">
              <w:rPr>
                <w:rFonts w:ascii="Times New Roman" w:hAnsi="Times New Roman"/>
                <w:sz w:val="18"/>
                <w:szCs w:val="18"/>
                <w:lang w:val="en-GB"/>
              </w:rPr>
              <w:t>6</w:t>
            </w:r>
          </w:p>
        </w:tc>
      </w:tr>
      <w:tr w:rsidR="003019DD" w:rsidRPr="00BA50D8" w14:paraId="66A9E396" w14:textId="77777777" w:rsidTr="00BA50D8">
        <w:tc>
          <w:tcPr>
            <w:tcW w:w="5529" w:type="dxa"/>
            <w:noWrap/>
          </w:tcPr>
          <w:p w14:paraId="66A9E391"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If I see something I want, I act straight away.</w:t>
            </w:r>
          </w:p>
        </w:tc>
        <w:tc>
          <w:tcPr>
            <w:tcW w:w="708" w:type="dxa"/>
            <w:noWrap/>
          </w:tcPr>
          <w:p w14:paraId="66A9E392" w14:textId="77777777" w:rsidR="003019DD" w:rsidRPr="00DF1961" w:rsidRDefault="003019DD" w:rsidP="00BA50D8">
            <w:pPr>
              <w:pStyle w:val="NoSpacing"/>
              <w:jc w:val="center"/>
              <w:rPr>
                <w:rFonts w:ascii="Times New Roman" w:hAnsi="Times New Roman"/>
                <w:sz w:val="18"/>
                <w:szCs w:val="18"/>
                <w:lang w:val="en-GB"/>
              </w:rPr>
            </w:pPr>
          </w:p>
        </w:tc>
        <w:tc>
          <w:tcPr>
            <w:tcW w:w="838" w:type="dxa"/>
            <w:noWrap/>
          </w:tcPr>
          <w:p w14:paraId="66A9E393" w14:textId="77777777" w:rsidR="003019DD" w:rsidRPr="002C28F8" w:rsidRDefault="003019DD" w:rsidP="00BA50D8">
            <w:pPr>
              <w:pStyle w:val="NoSpacing"/>
              <w:jc w:val="center"/>
              <w:rPr>
                <w:rFonts w:ascii="Times New Roman" w:hAnsi="Times New Roman"/>
                <w:sz w:val="18"/>
                <w:szCs w:val="18"/>
                <w:lang w:val="en-GB"/>
              </w:rPr>
            </w:pPr>
          </w:p>
        </w:tc>
        <w:tc>
          <w:tcPr>
            <w:tcW w:w="762" w:type="dxa"/>
            <w:noWrap/>
          </w:tcPr>
          <w:p w14:paraId="66A9E394" w14:textId="77777777" w:rsidR="003019DD" w:rsidRPr="003D3592" w:rsidRDefault="003019DD" w:rsidP="00BA50D8">
            <w:pPr>
              <w:pStyle w:val="NoSpacing"/>
              <w:jc w:val="center"/>
              <w:rPr>
                <w:rFonts w:ascii="Times New Roman" w:hAnsi="Times New Roman"/>
                <w:sz w:val="18"/>
                <w:szCs w:val="18"/>
                <w:lang w:val="en-GB"/>
              </w:rPr>
            </w:pPr>
          </w:p>
        </w:tc>
        <w:tc>
          <w:tcPr>
            <w:tcW w:w="762" w:type="dxa"/>
            <w:noWrap/>
          </w:tcPr>
          <w:p w14:paraId="66A9E395" w14:textId="77777777" w:rsidR="003019DD" w:rsidRPr="00065B92" w:rsidRDefault="00E62F77" w:rsidP="00BA50D8">
            <w:pPr>
              <w:pStyle w:val="NoSpacing"/>
              <w:jc w:val="center"/>
              <w:rPr>
                <w:rFonts w:ascii="Times New Roman" w:hAnsi="Times New Roman"/>
                <w:sz w:val="18"/>
                <w:szCs w:val="18"/>
                <w:lang w:val="en-GB"/>
              </w:rPr>
            </w:pPr>
            <w:r>
              <w:rPr>
                <w:rFonts w:ascii="Times New Roman" w:hAnsi="Times New Roman"/>
                <w:sz w:val="18"/>
                <w:szCs w:val="18"/>
                <w:lang w:val="en-GB"/>
              </w:rPr>
              <w:t>0.48</w:t>
            </w:r>
          </w:p>
        </w:tc>
      </w:tr>
      <w:tr w:rsidR="003019DD" w:rsidRPr="00BA50D8" w14:paraId="66A9E398" w14:textId="77777777" w:rsidTr="00BA50D8">
        <w:trPr>
          <w:gridAfter w:val="4"/>
          <w:wAfter w:w="3070" w:type="dxa"/>
        </w:trPr>
        <w:tc>
          <w:tcPr>
            <w:tcW w:w="5529" w:type="dxa"/>
            <w:noWrap/>
          </w:tcPr>
          <w:p w14:paraId="66A9E397" w14:textId="77777777" w:rsidR="003019DD" w:rsidRPr="00BA50D8" w:rsidRDefault="003019DD" w:rsidP="00AD5A84">
            <w:pPr>
              <w:pStyle w:val="NoSpacing"/>
              <w:rPr>
                <w:rFonts w:ascii="Times New Roman" w:hAnsi="Times New Roman"/>
                <w:sz w:val="18"/>
                <w:szCs w:val="18"/>
                <w:lang w:val="en-GB"/>
              </w:rPr>
            </w:pPr>
          </w:p>
        </w:tc>
      </w:tr>
      <w:tr w:rsidR="003019DD" w:rsidRPr="00BA50D8" w14:paraId="66A9E39E" w14:textId="77777777" w:rsidTr="00BA50D8">
        <w:tc>
          <w:tcPr>
            <w:tcW w:w="5529" w:type="dxa"/>
            <w:noWrap/>
          </w:tcPr>
          <w:p w14:paraId="66A9E399"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1. Reward Interest</w:t>
            </w:r>
          </w:p>
        </w:tc>
        <w:tc>
          <w:tcPr>
            <w:tcW w:w="708" w:type="dxa"/>
            <w:noWrap/>
          </w:tcPr>
          <w:p w14:paraId="66A9E39A" w14:textId="77777777" w:rsidR="003019DD" w:rsidRPr="00BA50D8" w:rsidRDefault="003019DD" w:rsidP="00BA50D8">
            <w:pPr>
              <w:pStyle w:val="NoSpacing"/>
              <w:jc w:val="center"/>
              <w:rPr>
                <w:rFonts w:ascii="Times New Roman" w:hAnsi="Times New Roman"/>
                <w:sz w:val="18"/>
                <w:szCs w:val="18"/>
                <w:lang w:val="en-GB"/>
              </w:rPr>
            </w:pPr>
            <w:r w:rsidRPr="00BA50D8">
              <w:rPr>
                <w:rFonts w:ascii="Times New Roman" w:hAnsi="Times New Roman"/>
                <w:sz w:val="18"/>
                <w:szCs w:val="18"/>
                <w:lang w:val="en-GB"/>
              </w:rPr>
              <w:t>-</w:t>
            </w:r>
          </w:p>
        </w:tc>
        <w:tc>
          <w:tcPr>
            <w:tcW w:w="838" w:type="dxa"/>
            <w:noWrap/>
          </w:tcPr>
          <w:p w14:paraId="66A9E39B" w14:textId="77777777" w:rsidR="003019DD" w:rsidRPr="00BA50D8" w:rsidRDefault="003019DD" w:rsidP="00BA50D8">
            <w:pPr>
              <w:pStyle w:val="NoSpacing"/>
              <w:jc w:val="center"/>
              <w:rPr>
                <w:rFonts w:ascii="Times New Roman" w:hAnsi="Times New Roman"/>
                <w:sz w:val="18"/>
                <w:szCs w:val="18"/>
                <w:lang w:val="en-GB"/>
              </w:rPr>
            </w:pPr>
          </w:p>
        </w:tc>
        <w:tc>
          <w:tcPr>
            <w:tcW w:w="762" w:type="dxa"/>
            <w:noWrap/>
          </w:tcPr>
          <w:p w14:paraId="66A9E39C" w14:textId="77777777" w:rsidR="003019DD" w:rsidRPr="00BA50D8" w:rsidRDefault="003019DD" w:rsidP="00BA50D8">
            <w:pPr>
              <w:pStyle w:val="NoSpacing"/>
              <w:jc w:val="center"/>
              <w:rPr>
                <w:rFonts w:ascii="Times New Roman" w:hAnsi="Times New Roman"/>
                <w:sz w:val="18"/>
                <w:szCs w:val="18"/>
                <w:lang w:val="en-GB"/>
              </w:rPr>
            </w:pPr>
          </w:p>
        </w:tc>
        <w:tc>
          <w:tcPr>
            <w:tcW w:w="762" w:type="dxa"/>
            <w:noWrap/>
          </w:tcPr>
          <w:p w14:paraId="66A9E39D" w14:textId="77777777" w:rsidR="003019DD" w:rsidRPr="00BA50D8" w:rsidRDefault="003019DD" w:rsidP="00BA50D8">
            <w:pPr>
              <w:pStyle w:val="NoSpacing"/>
              <w:jc w:val="center"/>
              <w:rPr>
                <w:rFonts w:ascii="Times New Roman" w:hAnsi="Times New Roman"/>
                <w:sz w:val="18"/>
                <w:szCs w:val="18"/>
                <w:lang w:val="en-GB"/>
              </w:rPr>
            </w:pPr>
          </w:p>
        </w:tc>
      </w:tr>
      <w:tr w:rsidR="003019DD" w:rsidRPr="00BA50D8" w14:paraId="66A9E3A4" w14:textId="77777777" w:rsidTr="00BA50D8">
        <w:tc>
          <w:tcPr>
            <w:tcW w:w="5529" w:type="dxa"/>
            <w:noWrap/>
          </w:tcPr>
          <w:p w14:paraId="66A9E39F"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2. Goal-Drive Persistence</w:t>
            </w:r>
          </w:p>
        </w:tc>
        <w:tc>
          <w:tcPr>
            <w:tcW w:w="708" w:type="dxa"/>
            <w:noWrap/>
          </w:tcPr>
          <w:p w14:paraId="66A9E3A0" w14:textId="77777777" w:rsidR="003019DD" w:rsidRPr="00BA50D8" w:rsidRDefault="003019DD" w:rsidP="00BA50D8">
            <w:pPr>
              <w:pStyle w:val="NoSpacing"/>
              <w:jc w:val="center"/>
              <w:rPr>
                <w:rFonts w:ascii="Times New Roman" w:hAnsi="Times New Roman"/>
                <w:sz w:val="18"/>
                <w:szCs w:val="18"/>
                <w:lang w:val="en-GB"/>
              </w:rPr>
            </w:pPr>
            <w:r w:rsidRPr="00BA50D8">
              <w:rPr>
                <w:rFonts w:ascii="Times New Roman" w:hAnsi="Times New Roman"/>
                <w:sz w:val="18"/>
                <w:szCs w:val="18"/>
                <w:lang w:val="en-GB"/>
              </w:rPr>
              <w:t>0.5</w:t>
            </w:r>
            <w:r w:rsidR="00E62F77">
              <w:rPr>
                <w:rFonts w:ascii="Times New Roman" w:hAnsi="Times New Roman"/>
                <w:sz w:val="18"/>
                <w:szCs w:val="18"/>
                <w:lang w:val="en-GB"/>
              </w:rPr>
              <w:t>7</w:t>
            </w:r>
            <w:r w:rsidR="0086374A" w:rsidRPr="00BA50D8">
              <w:rPr>
                <w:rFonts w:ascii="Times New Roman" w:hAnsi="Times New Roman"/>
                <w:sz w:val="18"/>
                <w:szCs w:val="18"/>
                <w:lang w:val="en-GB"/>
              </w:rPr>
              <w:t>*</w:t>
            </w:r>
          </w:p>
        </w:tc>
        <w:tc>
          <w:tcPr>
            <w:tcW w:w="838" w:type="dxa"/>
            <w:noWrap/>
          </w:tcPr>
          <w:p w14:paraId="66A9E3A1" w14:textId="77777777" w:rsidR="003019DD" w:rsidRPr="00BA50D8" w:rsidRDefault="003019DD" w:rsidP="00BA50D8">
            <w:pPr>
              <w:pStyle w:val="NoSpacing"/>
              <w:jc w:val="center"/>
              <w:rPr>
                <w:rFonts w:ascii="Times New Roman" w:hAnsi="Times New Roman"/>
                <w:sz w:val="18"/>
                <w:szCs w:val="18"/>
                <w:lang w:val="en-GB"/>
              </w:rPr>
            </w:pPr>
            <w:r w:rsidRPr="00BA50D8">
              <w:rPr>
                <w:rFonts w:ascii="Times New Roman" w:hAnsi="Times New Roman"/>
                <w:sz w:val="18"/>
                <w:szCs w:val="18"/>
                <w:lang w:val="en-GB"/>
              </w:rPr>
              <w:t>-</w:t>
            </w:r>
          </w:p>
        </w:tc>
        <w:tc>
          <w:tcPr>
            <w:tcW w:w="762" w:type="dxa"/>
            <w:noWrap/>
          </w:tcPr>
          <w:p w14:paraId="66A9E3A2" w14:textId="77777777" w:rsidR="003019DD" w:rsidRPr="00BA50D8" w:rsidRDefault="003019DD" w:rsidP="00BA50D8">
            <w:pPr>
              <w:pStyle w:val="NoSpacing"/>
              <w:jc w:val="center"/>
              <w:rPr>
                <w:rFonts w:ascii="Times New Roman" w:hAnsi="Times New Roman"/>
                <w:sz w:val="18"/>
                <w:szCs w:val="18"/>
                <w:lang w:val="en-GB"/>
              </w:rPr>
            </w:pPr>
          </w:p>
        </w:tc>
        <w:tc>
          <w:tcPr>
            <w:tcW w:w="762" w:type="dxa"/>
            <w:noWrap/>
          </w:tcPr>
          <w:p w14:paraId="66A9E3A3" w14:textId="77777777" w:rsidR="003019DD" w:rsidRPr="00BA50D8" w:rsidRDefault="003019DD" w:rsidP="00BA50D8">
            <w:pPr>
              <w:pStyle w:val="NoSpacing"/>
              <w:jc w:val="center"/>
              <w:rPr>
                <w:rFonts w:ascii="Times New Roman" w:hAnsi="Times New Roman"/>
                <w:sz w:val="18"/>
                <w:szCs w:val="18"/>
                <w:lang w:val="en-GB"/>
              </w:rPr>
            </w:pPr>
          </w:p>
        </w:tc>
      </w:tr>
      <w:tr w:rsidR="003019DD" w:rsidRPr="00BA50D8" w14:paraId="66A9E3AA" w14:textId="77777777" w:rsidTr="00BA50D8">
        <w:tc>
          <w:tcPr>
            <w:tcW w:w="5529" w:type="dxa"/>
            <w:noWrap/>
          </w:tcPr>
          <w:p w14:paraId="66A9E3A5"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3. Reward Reactivity</w:t>
            </w:r>
          </w:p>
        </w:tc>
        <w:tc>
          <w:tcPr>
            <w:tcW w:w="708" w:type="dxa"/>
            <w:noWrap/>
          </w:tcPr>
          <w:p w14:paraId="66A9E3A6" w14:textId="77777777" w:rsidR="003019DD" w:rsidRPr="00BA50D8" w:rsidRDefault="003019DD" w:rsidP="00BA50D8">
            <w:pPr>
              <w:pStyle w:val="NoSpacing"/>
              <w:jc w:val="center"/>
              <w:rPr>
                <w:rFonts w:ascii="Times New Roman" w:hAnsi="Times New Roman"/>
                <w:sz w:val="18"/>
                <w:szCs w:val="18"/>
                <w:lang w:val="en-GB"/>
              </w:rPr>
            </w:pPr>
            <w:r w:rsidRPr="00BA50D8">
              <w:rPr>
                <w:rFonts w:ascii="Times New Roman" w:hAnsi="Times New Roman"/>
                <w:sz w:val="18"/>
                <w:szCs w:val="18"/>
                <w:lang w:val="en-GB"/>
              </w:rPr>
              <w:t>0.5</w:t>
            </w:r>
            <w:r w:rsidR="00E62F77">
              <w:rPr>
                <w:rFonts w:ascii="Times New Roman" w:hAnsi="Times New Roman"/>
                <w:sz w:val="18"/>
                <w:szCs w:val="18"/>
                <w:lang w:val="en-GB"/>
              </w:rPr>
              <w:t>6</w:t>
            </w:r>
            <w:r w:rsidR="0086374A" w:rsidRPr="00BA50D8">
              <w:rPr>
                <w:rFonts w:ascii="Times New Roman" w:hAnsi="Times New Roman"/>
                <w:sz w:val="18"/>
                <w:szCs w:val="18"/>
                <w:lang w:val="en-GB"/>
              </w:rPr>
              <w:t>*</w:t>
            </w:r>
          </w:p>
        </w:tc>
        <w:tc>
          <w:tcPr>
            <w:tcW w:w="838" w:type="dxa"/>
            <w:noWrap/>
          </w:tcPr>
          <w:p w14:paraId="66A9E3A7" w14:textId="77777777" w:rsidR="003019DD" w:rsidRPr="00BA50D8" w:rsidRDefault="00E62F77" w:rsidP="00BA50D8">
            <w:pPr>
              <w:pStyle w:val="NoSpacing"/>
              <w:jc w:val="center"/>
              <w:rPr>
                <w:rFonts w:ascii="Times New Roman" w:hAnsi="Times New Roman"/>
                <w:sz w:val="18"/>
                <w:szCs w:val="18"/>
                <w:highlight w:val="yellow"/>
                <w:lang w:val="en-GB"/>
              </w:rPr>
            </w:pPr>
            <w:r>
              <w:rPr>
                <w:rFonts w:ascii="Times New Roman" w:hAnsi="Times New Roman"/>
                <w:sz w:val="18"/>
                <w:szCs w:val="18"/>
                <w:lang w:val="en-GB"/>
              </w:rPr>
              <w:t>0.39</w:t>
            </w:r>
            <w:r w:rsidR="0086374A" w:rsidRPr="00BA50D8">
              <w:rPr>
                <w:rFonts w:ascii="Times New Roman" w:hAnsi="Times New Roman"/>
                <w:sz w:val="18"/>
                <w:szCs w:val="18"/>
                <w:lang w:val="en-GB"/>
              </w:rPr>
              <w:t>*</w:t>
            </w:r>
          </w:p>
        </w:tc>
        <w:tc>
          <w:tcPr>
            <w:tcW w:w="762" w:type="dxa"/>
            <w:noWrap/>
          </w:tcPr>
          <w:p w14:paraId="66A9E3A8" w14:textId="77777777" w:rsidR="003019DD" w:rsidRPr="00BA50D8" w:rsidRDefault="0086374A" w:rsidP="00BA50D8">
            <w:pPr>
              <w:pStyle w:val="NoSpacing"/>
              <w:jc w:val="center"/>
              <w:rPr>
                <w:rFonts w:ascii="Times New Roman" w:hAnsi="Times New Roman"/>
                <w:color w:val="FFFF99"/>
                <w:sz w:val="18"/>
                <w:szCs w:val="18"/>
                <w:highlight w:val="yellow"/>
                <w:lang w:val="en-GB"/>
              </w:rPr>
            </w:pPr>
            <w:r w:rsidRPr="00BA50D8">
              <w:rPr>
                <w:rFonts w:ascii="Times New Roman" w:hAnsi="Times New Roman"/>
                <w:sz w:val="18"/>
                <w:szCs w:val="18"/>
                <w:lang w:val="en-GB"/>
              </w:rPr>
              <w:t>-</w:t>
            </w:r>
            <w:r w:rsidR="003019DD" w:rsidRPr="00BA50D8">
              <w:rPr>
                <w:rFonts w:ascii="Times New Roman" w:hAnsi="Times New Roman"/>
                <w:color w:val="FFFF99"/>
                <w:sz w:val="18"/>
                <w:szCs w:val="18"/>
                <w:lang w:val="en-GB"/>
              </w:rPr>
              <w:t>-</w:t>
            </w:r>
          </w:p>
        </w:tc>
        <w:tc>
          <w:tcPr>
            <w:tcW w:w="762" w:type="dxa"/>
            <w:noWrap/>
          </w:tcPr>
          <w:p w14:paraId="66A9E3A9" w14:textId="77777777" w:rsidR="003019DD" w:rsidRPr="00BA50D8" w:rsidRDefault="003019DD" w:rsidP="00BA50D8">
            <w:pPr>
              <w:pStyle w:val="NoSpacing"/>
              <w:jc w:val="center"/>
              <w:rPr>
                <w:rFonts w:ascii="Times New Roman" w:hAnsi="Times New Roman"/>
                <w:sz w:val="18"/>
                <w:szCs w:val="18"/>
                <w:lang w:val="en-GB"/>
              </w:rPr>
            </w:pPr>
          </w:p>
        </w:tc>
      </w:tr>
      <w:tr w:rsidR="003019DD" w:rsidRPr="00BA50D8" w14:paraId="66A9E3B0" w14:textId="77777777" w:rsidTr="00BA50D8">
        <w:tc>
          <w:tcPr>
            <w:tcW w:w="5529" w:type="dxa"/>
            <w:tcBorders>
              <w:bottom w:val="single" w:sz="4" w:space="0" w:color="auto"/>
            </w:tcBorders>
            <w:noWrap/>
          </w:tcPr>
          <w:p w14:paraId="66A9E3AB" w14:textId="77777777" w:rsidR="003019DD" w:rsidRPr="00BA50D8" w:rsidRDefault="003019DD" w:rsidP="00AD5A84">
            <w:pPr>
              <w:pStyle w:val="NoSpacing"/>
              <w:rPr>
                <w:rFonts w:ascii="Times New Roman" w:hAnsi="Times New Roman"/>
                <w:sz w:val="18"/>
                <w:szCs w:val="18"/>
                <w:lang w:val="en-GB"/>
              </w:rPr>
            </w:pPr>
            <w:r w:rsidRPr="00BA50D8">
              <w:rPr>
                <w:rFonts w:ascii="Times New Roman" w:hAnsi="Times New Roman"/>
                <w:sz w:val="18"/>
                <w:szCs w:val="18"/>
                <w:lang w:val="en-GB"/>
              </w:rPr>
              <w:t>4. Impulsivity</w:t>
            </w:r>
          </w:p>
        </w:tc>
        <w:tc>
          <w:tcPr>
            <w:tcW w:w="708" w:type="dxa"/>
            <w:tcBorders>
              <w:bottom w:val="single" w:sz="4" w:space="0" w:color="auto"/>
            </w:tcBorders>
            <w:noWrap/>
          </w:tcPr>
          <w:p w14:paraId="66A9E3AC" w14:textId="77777777" w:rsidR="003019DD" w:rsidRPr="00BA50D8" w:rsidRDefault="00EB2D6C" w:rsidP="00BA50D8">
            <w:pPr>
              <w:pStyle w:val="NoSpacing"/>
              <w:jc w:val="center"/>
              <w:rPr>
                <w:rFonts w:ascii="Times New Roman" w:hAnsi="Times New Roman"/>
                <w:sz w:val="18"/>
                <w:szCs w:val="18"/>
                <w:lang w:val="en-GB"/>
              </w:rPr>
            </w:pPr>
            <w:r w:rsidRPr="00BA50D8">
              <w:rPr>
                <w:rFonts w:ascii="Times New Roman" w:hAnsi="Times New Roman"/>
                <w:sz w:val="18"/>
                <w:szCs w:val="18"/>
                <w:lang w:val="en-GB"/>
              </w:rPr>
              <w:t>0.5</w:t>
            </w:r>
            <w:r w:rsidR="00E62F77">
              <w:rPr>
                <w:rFonts w:ascii="Times New Roman" w:hAnsi="Times New Roman"/>
                <w:sz w:val="18"/>
                <w:szCs w:val="18"/>
                <w:lang w:val="en-GB"/>
              </w:rPr>
              <w:t>5</w:t>
            </w:r>
            <w:r w:rsidR="0086374A" w:rsidRPr="00BA50D8">
              <w:rPr>
                <w:rFonts w:ascii="Times New Roman" w:hAnsi="Times New Roman"/>
                <w:sz w:val="18"/>
                <w:szCs w:val="18"/>
                <w:lang w:val="en-GB"/>
              </w:rPr>
              <w:t>*</w:t>
            </w:r>
          </w:p>
        </w:tc>
        <w:tc>
          <w:tcPr>
            <w:tcW w:w="838" w:type="dxa"/>
            <w:tcBorders>
              <w:bottom w:val="single" w:sz="4" w:space="0" w:color="auto"/>
            </w:tcBorders>
            <w:noWrap/>
          </w:tcPr>
          <w:p w14:paraId="66A9E3AD" w14:textId="77777777" w:rsidR="003019DD" w:rsidRPr="00BA50D8" w:rsidRDefault="00EB2D6C" w:rsidP="00BA50D8">
            <w:pPr>
              <w:pStyle w:val="NoSpacing"/>
              <w:jc w:val="center"/>
              <w:rPr>
                <w:rFonts w:ascii="Times New Roman" w:hAnsi="Times New Roman"/>
                <w:sz w:val="18"/>
                <w:szCs w:val="18"/>
                <w:lang w:val="en-GB"/>
              </w:rPr>
            </w:pPr>
            <w:r w:rsidRPr="00BA50D8">
              <w:rPr>
                <w:rFonts w:ascii="Times New Roman" w:hAnsi="Times New Roman"/>
                <w:sz w:val="18"/>
                <w:szCs w:val="18"/>
                <w:lang w:val="en-GB"/>
              </w:rPr>
              <w:t>0.0</w:t>
            </w:r>
            <w:r w:rsidR="00CB5F64" w:rsidRPr="00BA50D8">
              <w:rPr>
                <w:rFonts w:ascii="Times New Roman" w:hAnsi="Times New Roman"/>
                <w:sz w:val="18"/>
                <w:szCs w:val="18"/>
                <w:lang w:val="en-GB"/>
              </w:rPr>
              <w:t>8</w:t>
            </w:r>
          </w:p>
        </w:tc>
        <w:tc>
          <w:tcPr>
            <w:tcW w:w="762" w:type="dxa"/>
            <w:tcBorders>
              <w:bottom w:val="single" w:sz="4" w:space="0" w:color="auto"/>
            </w:tcBorders>
            <w:noWrap/>
          </w:tcPr>
          <w:p w14:paraId="66A9E3AE" w14:textId="77777777" w:rsidR="003019DD" w:rsidRPr="00BA50D8" w:rsidRDefault="00E62F77" w:rsidP="00BA50D8">
            <w:pPr>
              <w:pStyle w:val="NoSpacing"/>
              <w:jc w:val="center"/>
              <w:rPr>
                <w:rFonts w:ascii="Times New Roman" w:hAnsi="Times New Roman"/>
                <w:sz w:val="18"/>
                <w:szCs w:val="18"/>
                <w:lang w:val="en-GB"/>
              </w:rPr>
            </w:pPr>
            <w:r>
              <w:rPr>
                <w:rFonts w:ascii="Times New Roman" w:hAnsi="Times New Roman"/>
                <w:sz w:val="18"/>
                <w:szCs w:val="18"/>
                <w:lang w:val="en-GB"/>
              </w:rPr>
              <w:t>0.59</w:t>
            </w:r>
            <w:r w:rsidR="0086374A" w:rsidRPr="00BA50D8">
              <w:rPr>
                <w:rFonts w:ascii="Times New Roman" w:hAnsi="Times New Roman"/>
                <w:sz w:val="18"/>
                <w:szCs w:val="18"/>
                <w:lang w:val="en-GB"/>
              </w:rPr>
              <w:t>*</w:t>
            </w:r>
          </w:p>
        </w:tc>
        <w:tc>
          <w:tcPr>
            <w:tcW w:w="762" w:type="dxa"/>
            <w:tcBorders>
              <w:bottom w:val="single" w:sz="4" w:space="0" w:color="auto"/>
            </w:tcBorders>
            <w:noWrap/>
          </w:tcPr>
          <w:p w14:paraId="66A9E3AF" w14:textId="77777777" w:rsidR="003019DD" w:rsidRPr="00BA50D8" w:rsidRDefault="003019DD" w:rsidP="00BA50D8">
            <w:pPr>
              <w:pStyle w:val="NoSpacing"/>
              <w:jc w:val="center"/>
              <w:rPr>
                <w:rFonts w:ascii="Times New Roman" w:hAnsi="Times New Roman"/>
                <w:sz w:val="18"/>
                <w:szCs w:val="18"/>
                <w:lang w:val="en-GB"/>
              </w:rPr>
            </w:pPr>
            <w:r w:rsidRPr="00BA50D8">
              <w:rPr>
                <w:rFonts w:ascii="Times New Roman" w:hAnsi="Times New Roman"/>
                <w:sz w:val="18"/>
                <w:szCs w:val="18"/>
                <w:lang w:val="en-GB"/>
              </w:rPr>
              <w:t>-</w:t>
            </w:r>
          </w:p>
        </w:tc>
      </w:tr>
    </w:tbl>
    <w:p w14:paraId="66A9E3B1" w14:textId="77777777" w:rsidR="00BA50D8" w:rsidRDefault="00BA50D8" w:rsidP="000A19B0">
      <w:pPr>
        <w:spacing w:line="480" w:lineRule="auto"/>
        <w:rPr>
          <w:i/>
          <w:sz w:val="20"/>
          <w:szCs w:val="20"/>
          <w:lang w:val="en-GB"/>
        </w:rPr>
      </w:pPr>
    </w:p>
    <w:p w14:paraId="66A9E3B2" w14:textId="77777777" w:rsidR="00C80DE1" w:rsidRDefault="00C80DE1" w:rsidP="000A19B0">
      <w:pPr>
        <w:spacing w:line="480" w:lineRule="auto"/>
        <w:rPr>
          <w:sz w:val="20"/>
          <w:szCs w:val="20"/>
          <w:lang w:val="en-GB"/>
        </w:rPr>
      </w:pPr>
      <w:r w:rsidRPr="00262711">
        <w:rPr>
          <w:i/>
          <w:sz w:val="20"/>
          <w:szCs w:val="20"/>
          <w:lang w:val="en-GB"/>
        </w:rPr>
        <w:t>Note</w:t>
      </w:r>
      <w:r w:rsidRPr="00262711">
        <w:rPr>
          <w:sz w:val="20"/>
          <w:szCs w:val="20"/>
          <w:lang w:val="en-GB"/>
        </w:rPr>
        <w:t>..</w:t>
      </w:r>
      <w:r w:rsidR="00912A13" w:rsidRPr="00262711">
        <w:rPr>
          <w:sz w:val="20"/>
          <w:szCs w:val="20"/>
          <w:lang w:val="en-GB"/>
        </w:rPr>
        <w:t xml:space="preserve"> </w:t>
      </w:r>
      <w:r w:rsidR="0086374A" w:rsidRPr="00262711">
        <w:rPr>
          <w:sz w:val="20"/>
          <w:szCs w:val="20"/>
          <w:lang w:val="en-GB"/>
        </w:rPr>
        <w:t xml:space="preserve">* </w:t>
      </w:r>
      <w:r w:rsidR="0086374A" w:rsidRPr="00262711">
        <w:rPr>
          <w:i/>
          <w:sz w:val="20"/>
          <w:szCs w:val="20"/>
          <w:lang w:val="en-GB"/>
        </w:rPr>
        <w:t xml:space="preserve">p </w:t>
      </w:r>
      <w:r w:rsidR="0086374A" w:rsidRPr="00262711">
        <w:rPr>
          <w:sz w:val="20"/>
          <w:szCs w:val="20"/>
          <w:lang w:val="en-GB"/>
        </w:rPr>
        <w:t>&lt; .001</w:t>
      </w:r>
      <w:r w:rsidRPr="00262711">
        <w:rPr>
          <w:sz w:val="20"/>
          <w:szCs w:val="20"/>
          <w:lang w:val="en-GB"/>
        </w:rPr>
        <w:t>. RI = Reward Interest; G</w:t>
      </w:r>
      <w:r w:rsidR="00DD6191">
        <w:rPr>
          <w:sz w:val="20"/>
          <w:szCs w:val="20"/>
          <w:lang w:val="en-GB"/>
        </w:rPr>
        <w:t>D</w:t>
      </w:r>
      <w:r w:rsidRPr="00262711">
        <w:rPr>
          <w:sz w:val="20"/>
          <w:szCs w:val="20"/>
          <w:lang w:val="en-GB"/>
        </w:rPr>
        <w:t>P = Goal-Drive Persistence; RR = Reward Reactivity; Imp = Impulsivity.</w:t>
      </w:r>
    </w:p>
    <w:p w14:paraId="66A9E3B3" w14:textId="77777777" w:rsidR="00BA50D8" w:rsidRPr="00262711" w:rsidRDefault="00BA50D8" w:rsidP="000A19B0">
      <w:pPr>
        <w:spacing w:line="480" w:lineRule="auto"/>
        <w:rPr>
          <w:sz w:val="20"/>
          <w:szCs w:val="20"/>
          <w:lang w:val="en-GB"/>
        </w:rPr>
      </w:pPr>
    </w:p>
    <w:p w14:paraId="66A9E3B4" w14:textId="77777777" w:rsidR="00E86E14" w:rsidRPr="00262711" w:rsidRDefault="00D5209B" w:rsidP="00C849D8">
      <w:pPr>
        <w:rPr>
          <w:lang w:val="en-GB"/>
        </w:rPr>
      </w:pPr>
      <w:r w:rsidRPr="00262711">
        <w:rPr>
          <w:lang w:val="en-GB"/>
        </w:rPr>
        <w:br w:type="page"/>
      </w:r>
      <w:r w:rsidR="00C80DE1" w:rsidRPr="00262711">
        <w:rPr>
          <w:lang w:val="en-GB"/>
        </w:rPr>
        <w:lastRenderedPageBreak/>
        <w:t xml:space="preserve">Table </w:t>
      </w:r>
      <w:r w:rsidRPr="00262711">
        <w:rPr>
          <w:lang w:val="en-GB"/>
        </w:rPr>
        <w:t>2</w:t>
      </w:r>
    </w:p>
    <w:p w14:paraId="66A9E3B5" w14:textId="7B440BB1" w:rsidR="00C80DE1" w:rsidRPr="00262711" w:rsidRDefault="00C80DE1" w:rsidP="00982E7D">
      <w:pPr>
        <w:spacing w:line="480" w:lineRule="auto"/>
        <w:rPr>
          <w:i/>
          <w:iCs/>
          <w:lang w:val="en-GB"/>
        </w:rPr>
      </w:pPr>
      <w:r w:rsidRPr="00262711">
        <w:rPr>
          <w:i/>
          <w:iCs/>
          <w:lang w:val="en-GB"/>
        </w:rPr>
        <w:t>Factor loadings</w:t>
      </w:r>
      <w:r w:rsidR="00661A5A">
        <w:rPr>
          <w:i/>
          <w:iCs/>
          <w:lang w:val="en-GB"/>
        </w:rPr>
        <w:t xml:space="preserve"> of FFFS and BIS items</w:t>
      </w:r>
      <w:r w:rsidRPr="00262711">
        <w:rPr>
          <w:i/>
          <w:iCs/>
          <w:lang w:val="en-GB"/>
        </w:rPr>
        <w:t xml:space="preserve"> for </w:t>
      </w:r>
      <w:r w:rsidR="00AB42EF" w:rsidRPr="00262711">
        <w:rPr>
          <w:i/>
          <w:iCs/>
          <w:lang w:val="en-GB"/>
        </w:rPr>
        <w:t>confirmatory factor analyses (C</w:t>
      </w:r>
      <w:r w:rsidRPr="00262711">
        <w:rPr>
          <w:i/>
          <w:iCs/>
          <w:lang w:val="en-GB"/>
        </w:rPr>
        <w:t>FA</w:t>
      </w:r>
      <w:r w:rsidR="00661A5A">
        <w:rPr>
          <w:i/>
          <w:iCs/>
          <w:lang w:val="en-GB"/>
        </w:rPr>
        <w:t>) of the six-factor single-order model.</w:t>
      </w:r>
    </w:p>
    <w:tbl>
      <w:tblPr>
        <w:tblW w:w="8103" w:type="dxa"/>
        <w:tblBorders>
          <w:top w:val="single" w:sz="12" w:space="0" w:color="auto"/>
          <w:bottom w:val="single" w:sz="2" w:space="0" w:color="auto"/>
        </w:tblBorders>
        <w:tblLayout w:type="fixed"/>
        <w:tblLook w:val="00A0" w:firstRow="1" w:lastRow="0" w:firstColumn="1" w:lastColumn="0" w:noHBand="0" w:noVBand="0"/>
      </w:tblPr>
      <w:tblGrid>
        <w:gridCol w:w="6629"/>
        <w:gridCol w:w="737"/>
        <w:gridCol w:w="737"/>
      </w:tblGrid>
      <w:tr w:rsidR="00AB42EF" w:rsidRPr="00BA50D8" w14:paraId="66A9E3B8" w14:textId="77777777" w:rsidTr="00A0761E">
        <w:tc>
          <w:tcPr>
            <w:tcW w:w="6629" w:type="dxa"/>
            <w:tcBorders>
              <w:top w:val="single" w:sz="12" w:space="0" w:color="auto"/>
              <w:bottom w:val="single" w:sz="8" w:space="0" w:color="auto"/>
            </w:tcBorders>
          </w:tcPr>
          <w:p w14:paraId="66A9E3B6" w14:textId="77777777" w:rsidR="00AB42EF" w:rsidRPr="00BA50D8" w:rsidRDefault="00AB42EF" w:rsidP="00264070">
            <w:pPr>
              <w:pStyle w:val="NoSpacing"/>
              <w:rPr>
                <w:rFonts w:ascii="Times New Roman" w:hAnsi="Times New Roman"/>
                <w:b/>
                <w:sz w:val="18"/>
                <w:szCs w:val="18"/>
                <w:lang w:val="en-GB"/>
              </w:rPr>
            </w:pPr>
          </w:p>
        </w:tc>
        <w:tc>
          <w:tcPr>
            <w:tcW w:w="1474" w:type="dxa"/>
            <w:gridSpan w:val="2"/>
            <w:tcBorders>
              <w:top w:val="single" w:sz="12" w:space="0" w:color="auto"/>
              <w:bottom w:val="single" w:sz="4" w:space="0" w:color="auto"/>
            </w:tcBorders>
          </w:tcPr>
          <w:p w14:paraId="66A9E3B7" w14:textId="77777777" w:rsidR="00AB42EF" w:rsidRPr="00BA50D8" w:rsidRDefault="00AB42EF" w:rsidP="00264070">
            <w:pPr>
              <w:pStyle w:val="NoSpacing"/>
              <w:ind w:firstLine="34"/>
              <w:jc w:val="center"/>
              <w:rPr>
                <w:rFonts w:ascii="Times New Roman" w:hAnsi="Times New Roman"/>
                <w:b/>
                <w:sz w:val="18"/>
                <w:szCs w:val="18"/>
                <w:lang w:val="en-GB"/>
              </w:rPr>
            </w:pPr>
            <w:r w:rsidRPr="00BA50D8">
              <w:rPr>
                <w:rFonts w:ascii="Times New Roman" w:hAnsi="Times New Roman"/>
                <w:b/>
                <w:sz w:val="18"/>
                <w:szCs w:val="18"/>
                <w:lang w:val="en-GB"/>
              </w:rPr>
              <w:t>CFA</w:t>
            </w:r>
          </w:p>
        </w:tc>
      </w:tr>
      <w:tr w:rsidR="00AB42EF" w:rsidRPr="00BA50D8" w14:paraId="66A9E3BC" w14:textId="77777777" w:rsidTr="00A0761E">
        <w:tc>
          <w:tcPr>
            <w:tcW w:w="6629" w:type="dxa"/>
            <w:tcBorders>
              <w:top w:val="single" w:sz="8" w:space="0" w:color="auto"/>
              <w:bottom w:val="single" w:sz="4" w:space="0" w:color="auto"/>
              <w:right w:val="nil"/>
            </w:tcBorders>
            <w:noWrap/>
            <w:tcMar>
              <w:left w:w="0" w:type="dxa"/>
              <w:right w:w="0" w:type="dxa"/>
            </w:tcMar>
          </w:tcPr>
          <w:p w14:paraId="66A9E3B9" w14:textId="77777777" w:rsidR="00AB42EF" w:rsidRPr="00BA50D8" w:rsidRDefault="00AB42EF" w:rsidP="00264070">
            <w:pPr>
              <w:rPr>
                <w:b/>
                <w:sz w:val="18"/>
                <w:szCs w:val="18"/>
                <w:lang w:val="en-GB"/>
              </w:rPr>
            </w:pPr>
            <w:r w:rsidRPr="00BA50D8">
              <w:rPr>
                <w:b/>
                <w:sz w:val="18"/>
                <w:szCs w:val="18"/>
                <w:lang w:val="en-GB"/>
              </w:rPr>
              <w:t>Thematic Facets</w:t>
            </w:r>
          </w:p>
        </w:tc>
        <w:tc>
          <w:tcPr>
            <w:tcW w:w="737" w:type="dxa"/>
            <w:tcBorders>
              <w:top w:val="single" w:sz="4" w:space="0" w:color="auto"/>
              <w:left w:val="nil"/>
              <w:bottom w:val="single" w:sz="4" w:space="0" w:color="auto"/>
              <w:right w:val="nil"/>
            </w:tcBorders>
            <w:noWrap/>
          </w:tcPr>
          <w:p w14:paraId="66A9E3BA" w14:textId="77777777" w:rsidR="00AB42EF" w:rsidRPr="00BA50D8" w:rsidRDefault="00AB42EF" w:rsidP="00BA50D8">
            <w:pPr>
              <w:jc w:val="center"/>
              <w:rPr>
                <w:b/>
                <w:sz w:val="18"/>
                <w:szCs w:val="18"/>
                <w:lang w:val="en-GB"/>
              </w:rPr>
            </w:pPr>
            <w:r w:rsidRPr="00BA50D8">
              <w:rPr>
                <w:b/>
                <w:sz w:val="18"/>
                <w:szCs w:val="18"/>
                <w:lang w:val="en-GB"/>
              </w:rPr>
              <w:t>FFFS</w:t>
            </w:r>
          </w:p>
        </w:tc>
        <w:tc>
          <w:tcPr>
            <w:tcW w:w="737" w:type="dxa"/>
            <w:tcBorders>
              <w:top w:val="single" w:sz="4" w:space="0" w:color="auto"/>
              <w:left w:val="nil"/>
              <w:bottom w:val="single" w:sz="4" w:space="0" w:color="auto"/>
              <w:right w:val="nil"/>
            </w:tcBorders>
            <w:noWrap/>
          </w:tcPr>
          <w:p w14:paraId="66A9E3BB" w14:textId="77777777" w:rsidR="00AB42EF" w:rsidRPr="00BA50D8" w:rsidRDefault="00AB42EF" w:rsidP="00BA50D8">
            <w:pPr>
              <w:jc w:val="center"/>
              <w:rPr>
                <w:b/>
                <w:sz w:val="18"/>
                <w:szCs w:val="18"/>
                <w:lang w:val="en-GB"/>
              </w:rPr>
            </w:pPr>
            <w:r w:rsidRPr="00BA50D8">
              <w:rPr>
                <w:b/>
                <w:sz w:val="18"/>
                <w:szCs w:val="18"/>
                <w:lang w:val="en-GB"/>
              </w:rPr>
              <w:t>BIS</w:t>
            </w:r>
          </w:p>
        </w:tc>
      </w:tr>
      <w:tr w:rsidR="00AB42EF" w:rsidRPr="00BA50D8" w14:paraId="66A9E3C0" w14:textId="77777777" w:rsidTr="00AB42EF">
        <w:tc>
          <w:tcPr>
            <w:tcW w:w="6629" w:type="dxa"/>
            <w:tcBorders>
              <w:top w:val="single" w:sz="4" w:space="0" w:color="auto"/>
              <w:bottom w:val="nil"/>
              <w:right w:val="nil"/>
            </w:tcBorders>
            <w:noWrap/>
            <w:tcMar>
              <w:left w:w="0" w:type="dxa"/>
              <w:right w:w="0" w:type="dxa"/>
            </w:tcMar>
          </w:tcPr>
          <w:p w14:paraId="66A9E3BD" w14:textId="77777777" w:rsidR="00AB42EF" w:rsidRPr="00BA50D8" w:rsidRDefault="00AB42EF" w:rsidP="00264070">
            <w:pPr>
              <w:pStyle w:val="NoSpacing"/>
              <w:rPr>
                <w:rFonts w:ascii="Times New Roman" w:hAnsi="Times New Roman"/>
                <w:b/>
                <w:sz w:val="18"/>
                <w:szCs w:val="18"/>
                <w:lang w:val="en-GB"/>
              </w:rPr>
            </w:pPr>
            <w:r w:rsidRPr="00BA50D8">
              <w:rPr>
                <w:rFonts w:ascii="Times New Roman" w:hAnsi="Times New Roman"/>
                <w:b/>
                <w:sz w:val="18"/>
                <w:szCs w:val="18"/>
                <w:lang w:val="en-GB"/>
              </w:rPr>
              <w:t>Flight</w:t>
            </w:r>
          </w:p>
        </w:tc>
        <w:tc>
          <w:tcPr>
            <w:tcW w:w="737" w:type="dxa"/>
            <w:tcBorders>
              <w:top w:val="single" w:sz="4" w:space="0" w:color="auto"/>
              <w:left w:val="nil"/>
              <w:bottom w:val="nil"/>
              <w:right w:val="nil"/>
            </w:tcBorders>
            <w:noWrap/>
          </w:tcPr>
          <w:p w14:paraId="66A9E3BE" w14:textId="77777777" w:rsidR="00AB42EF" w:rsidRPr="00BA50D8" w:rsidRDefault="00AB42EF" w:rsidP="00BA50D8">
            <w:pPr>
              <w:pStyle w:val="NoSpacing"/>
              <w:jc w:val="center"/>
              <w:rPr>
                <w:rFonts w:ascii="Times New Roman" w:hAnsi="Times New Roman"/>
                <w:sz w:val="18"/>
                <w:szCs w:val="18"/>
                <w:lang w:val="en-GB"/>
              </w:rPr>
            </w:pPr>
          </w:p>
        </w:tc>
        <w:tc>
          <w:tcPr>
            <w:tcW w:w="737" w:type="dxa"/>
            <w:tcBorders>
              <w:top w:val="single" w:sz="4" w:space="0" w:color="auto"/>
              <w:left w:val="nil"/>
              <w:bottom w:val="nil"/>
              <w:right w:val="nil"/>
            </w:tcBorders>
            <w:noWrap/>
          </w:tcPr>
          <w:p w14:paraId="66A9E3BF" w14:textId="77777777" w:rsidR="00AB42EF" w:rsidRPr="00BA50D8" w:rsidRDefault="00AB42EF" w:rsidP="00BA50D8">
            <w:pPr>
              <w:pStyle w:val="NoSpacing"/>
              <w:jc w:val="center"/>
              <w:rPr>
                <w:rFonts w:ascii="Times New Roman" w:hAnsi="Times New Roman"/>
                <w:sz w:val="18"/>
                <w:szCs w:val="18"/>
                <w:lang w:val="en-GB"/>
              </w:rPr>
            </w:pPr>
          </w:p>
        </w:tc>
      </w:tr>
      <w:tr w:rsidR="00AB42EF" w:rsidRPr="00BA50D8" w14:paraId="66A9E3C4" w14:textId="77777777" w:rsidTr="00AB42EF">
        <w:tc>
          <w:tcPr>
            <w:tcW w:w="6629" w:type="dxa"/>
            <w:tcBorders>
              <w:top w:val="nil"/>
              <w:right w:val="nil"/>
            </w:tcBorders>
            <w:noWrap/>
            <w:tcMar>
              <w:left w:w="0" w:type="dxa"/>
              <w:right w:w="0" w:type="dxa"/>
            </w:tcMar>
          </w:tcPr>
          <w:p w14:paraId="66A9E3C1"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would run fast if I knew someone was following me late at night.</w:t>
            </w:r>
          </w:p>
        </w:tc>
        <w:tc>
          <w:tcPr>
            <w:tcW w:w="737" w:type="dxa"/>
            <w:tcBorders>
              <w:top w:val="nil"/>
              <w:left w:val="nil"/>
              <w:bottom w:val="nil"/>
              <w:right w:val="nil"/>
            </w:tcBorders>
            <w:noWrap/>
          </w:tcPr>
          <w:p w14:paraId="66A9E3C2" w14:textId="77777777" w:rsidR="00AB42EF" w:rsidRPr="00065B92" w:rsidRDefault="004B29C0"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w:t>
            </w:r>
            <w:r w:rsidR="00FF0125">
              <w:rPr>
                <w:rFonts w:ascii="Times New Roman" w:hAnsi="Times New Roman"/>
                <w:sz w:val="18"/>
                <w:szCs w:val="18"/>
                <w:lang w:val="en-GB"/>
              </w:rPr>
              <w:t>34</w:t>
            </w:r>
          </w:p>
        </w:tc>
        <w:tc>
          <w:tcPr>
            <w:tcW w:w="737" w:type="dxa"/>
            <w:tcBorders>
              <w:top w:val="nil"/>
              <w:left w:val="nil"/>
              <w:bottom w:val="nil"/>
              <w:right w:val="nil"/>
            </w:tcBorders>
            <w:noWrap/>
          </w:tcPr>
          <w:p w14:paraId="66A9E3C3" w14:textId="77777777" w:rsidR="00AB42EF" w:rsidRPr="00DF1961" w:rsidRDefault="00AB42EF" w:rsidP="00BA50D8">
            <w:pPr>
              <w:pStyle w:val="NoSpacing"/>
              <w:jc w:val="center"/>
              <w:rPr>
                <w:rFonts w:ascii="Times New Roman" w:hAnsi="Times New Roman"/>
                <w:sz w:val="18"/>
                <w:szCs w:val="18"/>
                <w:lang w:val="en-GB"/>
              </w:rPr>
            </w:pPr>
          </w:p>
        </w:tc>
      </w:tr>
      <w:tr w:rsidR="00AB42EF" w:rsidRPr="00BA50D8" w14:paraId="66A9E3C8" w14:textId="77777777" w:rsidTr="00AB42EF">
        <w:tc>
          <w:tcPr>
            <w:tcW w:w="6629" w:type="dxa"/>
            <w:tcBorders>
              <w:right w:val="nil"/>
            </w:tcBorders>
            <w:noWrap/>
            <w:tcMar>
              <w:left w:w="0" w:type="dxa"/>
              <w:right w:w="0" w:type="dxa"/>
            </w:tcMar>
          </w:tcPr>
          <w:p w14:paraId="66A9E3C5"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would run quickly if fire alarms in a shopping mall started ringing.</w:t>
            </w:r>
          </w:p>
        </w:tc>
        <w:tc>
          <w:tcPr>
            <w:tcW w:w="737" w:type="dxa"/>
            <w:tcBorders>
              <w:top w:val="nil"/>
              <w:left w:val="nil"/>
              <w:bottom w:val="nil"/>
              <w:right w:val="nil"/>
            </w:tcBorders>
            <w:noWrap/>
          </w:tcPr>
          <w:p w14:paraId="66A9E3C6" w14:textId="77777777" w:rsidR="00AB42EF" w:rsidRPr="00065B92" w:rsidRDefault="00AB42EF"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w:t>
            </w:r>
            <w:r w:rsidR="0003001F">
              <w:rPr>
                <w:rFonts w:ascii="Times New Roman" w:hAnsi="Times New Roman"/>
                <w:sz w:val="18"/>
                <w:szCs w:val="18"/>
                <w:lang w:val="en-GB"/>
              </w:rPr>
              <w:t>60</w:t>
            </w:r>
          </w:p>
        </w:tc>
        <w:tc>
          <w:tcPr>
            <w:tcW w:w="737" w:type="dxa"/>
            <w:tcBorders>
              <w:top w:val="nil"/>
              <w:left w:val="nil"/>
              <w:bottom w:val="nil"/>
              <w:right w:val="nil"/>
            </w:tcBorders>
            <w:noWrap/>
          </w:tcPr>
          <w:p w14:paraId="66A9E3C7" w14:textId="77777777" w:rsidR="00AB42EF" w:rsidRPr="00DF1961" w:rsidRDefault="00AB42EF" w:rsidP="00BA50D8">
            <w:pPr>
              <w:pStyle w:val="NoSpacing"/>
              <w:jc w:val="center"/>
              <w:rPr>
                <w:rFonts w:ascii="Times New Roman" w:hAnsi="Times New Roman"/>
                <w:sz w:val="18"/>
                <w:szCs w:val="18"/>
                <w:lang w:val="en-GB"/>
              </w:rPr>
            </w:pPr>
          </w:p>
        </w:tc>
      </w:tr>
      <w:tr w:rsidR="00AB42EF" w:rsidRPr="00BA50D8" w14:paraId="66A9E3CC" w14:textId="77777777" w:rsidTr="00AB42EF">
        <w:tc>
          <w:tcPr>
            <w:tcW w:w="6629" w:type="dxa"/>
            <w:tcBorders>
              <w:right w:val="nil"/>
            </w:tcBorders>
            <w:noWrap/>
            <w:tcMar>
              <w:left w:w="0" w:type="dxa"/>
              <w:right w:w="0" w:type="dxa"/>
            </w:tcMar>
          </w:tcPr>
          <w:p w14:paraId="66A9E3C9"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would leave the park if I saw a group of dogs running around barking at people.</w:t>
            </w:r>
          </w:p>
        </w:tc>
        <w:tc>
          <w:tcPr>
            <w:tcW w:w="737" w:type="dxa"/>
            <w:tcBorders>
              <w:top w:val="nil"/>
              <w:left w:val="nil"/>
              <w:bottom w:val="nil"/>
              <w:right w:val="nil"/>
            </w:tcBorders>
            <w:noWrap/>
          </w:tcPr>
          <w:p w14:paraId="66A9E3CA" w14:textId="77777777" w:rsidR="00AB42EF" w:rsidRPr="00065B92" w:rsidRDefault="004B29C0"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0.5</w:t>
            </w:r>
            <w:r w:rsidR="0003001F">
              <w:rPr>
                <w:rFonts w:ascii="Times New Roman" w:hAnsi="Times New Roman"/>
                <w:sz w:val="18"/>
                <w:szCs w:val="18"/>
                <w:lang w:val="en-GB"/>
              </w:rPr>
              <w:t>8</w:t>
            </w:r>
          </w:p>
        </w:tc>
        <w:tc>
          <w:tcPr>
            <w:tcW w:w="737" w:type="dxa"/>
            <w:tcBorders>
              <w:top w:val="nil"/>
              <w:left w:val="nil"/>
              <w:bottom w:val="nil"/>
              <w:right w:val="nil"/>
            </w:tcBorders>
            <w:noWrap/>
          </w:tcPr>
          <w:p w14:paraId="66A9E3CB" w14:textId="77777777" w:rsidR="00AB42EF" w:rsidRPr="00DF1961" w:rsidRDefault="00AB42EF" w:rsidP="00BA50D8">
            <w:pPr>
              <w:pStyle w:val="NoSpacing"/>
              <w:jc w:val="center"/>
              <w:rPr>
                <w:rFonts w:ascii="Times New Roman" w:hAnsi="Times New Roman"/>
                <w:sz w:val="18"/>
                <w:szCs w:val="18"/>
                <w:lang w:val="en-GB"/>
              </w:rPr>
            </w:pPr>
          </w:p>
        </w:tc>
      </w:tr>
      <w:tr w:rsidR="00AB42EF" w:rsidRPr="00BA50D8" w14:paraId="66A9E3D0" w14:textId="77777777" w:rsidTr="00AB42EF">
        <w:tc>
          <w:tcPr>
            <w:tcW w:w="6629" w:type="dxa"/>
            <w:tcBorders>
              <w:right w:val="nil"/>
            </w:tcBorders>
            <w:noWrap/>
            <w:tcMar>
              <w:left w:w="0" w:type="dxa"/>
              <w:right w:w="0" w:type="dxa"/>
            </w:tcMar>
          </w:tcPr>
          <w:p w14:paraId="66A9E3CD" w14:textId="77777777" w:rsidR="00AB42EF" w:rsidRPr="00BA50D8" w:rsidRDefault="00AB42EF" w:rsidP="00264070">
            <w:pPr>
              <w:pStyle w:val="NoSpacing"/>
              <w:rPr>
                <w:rFonts w:ascii="Times New Roman" w:hAnsi="Times New Roman"/>
                <w:b/>
                <w:sz w:val="18"/>
                <w:szCs w:val="18"/>
                <w:lang w:val="en-GB"/>
              </w:rPr>
            </w:pPr>
            <w:r w:rsidRPr="00BA50D8">
              <w:rPr>
                <w:rFonts w:ascii="Times New Roman" w:hAnsi="Times New Roman"/>
                <w:b/>
                <w:sz w:val="18"/>
                <w:szCs w:val="18"/>
                <w:lang w:val="en-GB"/>
              </w:rPr>
              <w:t>Active Avoidance</w:t>
            </w:r>
          </w:p>
        </w:tc>
        <w:tc>
          <w:tcPr>
            <w:tcW w:w="737" w:type="dxa"/>
            <w:tcBorders>
              <w:top w:val="nil"/>
              <w:left w:val="nil"/>
              <w:bottom w:val="nil"/>
              <w:right w:val="nil"/>
            </w:tcBorders>
            <w:noWrap/>
          </w:tcPr>
          <w:p w14:paraId="66A9E3CE"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3CF" w14:textId="77777777" w:rsidR="00AB42EF" w:rsidRPr="002C28F8" w:rsidRDefault="00AB42EF" w:rsidP="00BA50D8">
            <w:pPr>
              <w:pStyle w:val="NoSpacing"/>
              <w:jc w:val="center"/>
              <w:rPr>
                <w:rFonts w:ascii="Times New Roman" w:hAnsi="Times New Roman"/>
                <w:sz w:val="18"/>
                <w:szCs w:val="18"/>
                <w:lang w:val="en-GB"/>
              </w:rPr>
            </w:pPr>
          </w:p>
        </w:tc>
      </w:tr>
      <w:tr w:rsidR="00AB42EF" w:rsidRPr="00BA50D8" w14:paraId="66A9E3D4" w14:textId="77777777" w:rsidTr="00AB42EF">
        <w:tc>
          <w:tcPr>
            <w:tcW w:w="6629" w:type="dxa"/>
            <w:tcBorders>
              <w:right w:val="nil"/>
            </w:tcBorders>
            <w:noWrap/>
            <w:tcMar>
              <w:left w:w="0" w:type="dxa"/>
              <w:right w:w="0" w:type="dxa"/>
            </w:tcMar>
          </w:tcPr>
          <w:p w14:paraId="66A9E3D1"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There are some things that I simply cannot go near.</w:t>
            </w:r>
          </w:p>
        </w:tc>
        <w:tc>
          <w:tcPr>
            <w:tcW w:w="737" w:type="dxa"/>
            <w:tcBorders>
              <w:top w:val="nil"/>
              <w:left w:val="nil"/>
              <w:bottom w:val="nil"/>
              <w:right w:val="nil"/>
            </w:tcBorders>
            <w:noWrap/>
          </w:tcPr>
          <w:p w14:paraId="66A9E3D2" w14:textId="77777777" w:rsidR="00AB42EF" w:rsidRPr="00065B92" w:rsidRDefault="004B29C0"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0.6</w:t>
            </w:r>
            <w:r w:rsidR="0003001F">
              <w:rPr>
                <w:rFonts w:ascii="Times New Roman" w:hAnsi="Times New Roman"/>
                <w:sz w:val="18"/>
                <w:szCs w:val="18"/>
                <w:lang w:val="en-GB"/>
              </w:rPr>
              <w:t>6</w:t>
            </w:r>
          </w:p>
        </w:tc>
        <w:tc>
          <w:tcPr>
            <w:tcW w:w="737" w:type="dxa"/>
            <w:tcBorders>
              <w:top w:val="nil"/>
              <w:left w:val="nil"/>
              <w:bottom w:val="nil"/>
              <w:right w:val="nil"/>
            </w:tcBorders>
            <w:noWrap/>
          </w:tcPr>
          <w:p w14:paraId="66A9E3D3" w14:textId="77777777" w:rsidR="00AB42EF" w:rsidRPr="00DF1961" w:rsidRDefault="00AB42EF" w:rsidP="00BA50D8">
            <w:pPr>
              <w:pStyle w:val="NoSpacing"/>
              <w:jc w:val="center"/>
              <w:rPr>
                <w:rFonts w:ascii="Times New Roman" w:hAnsi="Times New Roman"/>
                <w:sz w:val="18"/>
                <w:szCs w:val="18"/>
                <w:lang w:val="en-GB"/>
              </w:rPr>
            </w:pPr>
          </w:p>
        </w:tc>
      </w:tr>
      <w:tr w:rsidR="00AB42EF" w:rsidRPr="00BA50D8" w14:paraId="66A9E3D8" w14:textId="77777777" w:rsidTr="00AB42EF">
        <w:tc>
          <w:tcPr>
            <w:tcW w:w="6629" w:type="dxa"/>
            <w:tcBorders>
              <w:right w:val="nil"/>
            </w:tcBorders>
            <w:noWrap/>
            <w:tcMar>
              <w:left w:w="0" w:type="dxa"/>
              <w:right w:w="0" w:type="dxa"/>
            </w:tcMar>
          </w:tcPr>
          <w:p w14:paraId="66A9E3D5"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would not hold a snake or spider.</w:t>
            </w:r>
          </w:p>
        </w:tc>
        <w:tc>
          <w:tcPr>
            <w:tcW w:w="737" w:type="dxa"/>
            <w:tcBorders>
              <w:top w:val="nil"/>
              <w:left w:val="nil"/>
              <w:bottom w:val="nil"/>
              <w:right w:val="nil"/>
            </w:tcBorders>
            <w:noWrap/>
          </w:tcPr>
          <w:p w14:paraId="66A9E3D6" w14:textId="77777777" w:rsidR="00AB42EF" w:rsidRPr="00065B92" w:rsidRDefault="002A6497"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w:t>
            </w:r>
            <w:r w:rsidR="0003001F">
              <w:rPr>
                <w:rFonts w:ascii="Times New Roman" w:hAnsi="Times New Roman"/>
                <w:sz w:val="18"/>
                <w:szCs w:val="18"/>
                <w:lang w:val="en-GB"/>
              </w:rPr>
              <w:t>56</w:t>
            </w:r>
          </w:p>
        </w:tc>
        <w:tc>
          <w:tcPr>
            <w:tcW w:w="737" w:type="dxa"/>
            <w:tcBorders>
              <w:top w:val="nil"/>
              <w:left w:val="nil"/>
              <w:bottom w:val="nil"/>
              <w:right w:val="nil"/>
            </w:tcBorders>
            <w:noWrap/>
          </w:tcPr>
          <w:p w14:paraId="66A9E3D7" w14:textId="77777777" w:rsidR="00AB42EF" w:rsidRPr="00DF1961" w:rsidRDefault="00AB42EF" w:rsidP="00BA50D8">
            <w:pPr>
              <w:pStyle w:val="NoSpacing"/>
              <w:jc w:val="center"/>
              <w:rPr>
                <w:rFonts w:ascii="Times New Roman" w:hAnsi="Times New Roman"/>
                <w:sz w:val="18"/>
                <w:szCs w:val="18"/>
                <w:lang w:val="en-GB"/>
              </w:rPr>
            </w:pPr>
          </w:p>
        </w:tc>
      </w:tr>
      <w:tr w:rsidR="00AB42EF" w:rsidRPr="00BA50D8" w14:paraId="66A9E3DC" w14:textId="77777777" w:rsidTr="00AB42EF">
        <w:tc>
          <w:tcPr>
            <w:tcW w:w="6629" w:type="dxa"/>
            <w:tcBorders>
              <w:right w:val="nil"/>
            </w:tcBorders>
            <w:noWrap/>
            <w:tcMar>
              <w:left w:w="0" w:type="dxa"/>
              <w:right w:w="0" w:type="dxa"/>
            </w:tcMar>
          </w:tcPr>
          <w:p w14:paraId="66A9E3D9" w14:textId="77777777" w:rsidR="00AB42EF" w:rsidRPr="00BA50D8" w:rsidRDefault="00AB42EF" w:rsidP="00264070">
            <w:pPr>
              <w:pStyle w:val="NoSpacing"/>
              <w:rPr>
                <w:rFonts w:ascii="Times New Roman" w:hAnsi="Times New Roman"/>
                <w:b/>
                <w:sz w:val="18"/>
                <w:szCs w:val="18"/>
                <w:lang w:val="en-GB"/>
              </w:rPr>
            </w:pPr>
            <w:r w:rsidRPr="00BA50D8">
              <w:rPr>
                <w:rFonts w:ascii="Times New Roman" w:hAnsi="Times New Roman"/>
                <w:b/>
                <w:sz w:val="18"/>
                <w:szCs w:val="18"/>
                <w:lang w:val="en-GB"/>
              </w:rPr>
              <w:t>Freezing</w:t>
            </w:r>
          </w:p>
        </w:tc>
        <w:tc>
          <w:tcPr>
            <w:tcW w:w="737" w:type="dxa"/>
            <w:tcBorders>
              <w:top w:val="nil"/>
              <w:left w:val="nil"/>
              <w:bottom w:val="nil"/>
              <w:right w:val="nil"/>
            </w:tcBorders>
            <w:noWrap/>
          </w:tcPr>
          <w:p w14:paraId="66A9E3DA"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3DB" w14:textId="77777777" w:rsidR="00AB42EF" w:rsidRPr="002C28F8" w:rsidRDefault="00AB42EF" w:rsidP="00BA50D8">
            <w:pPr>
              <w:pStyle w:val="NoSpacing"/>
              <w:jc w:val="center"/>
              <w:rPr>
                <w:rFonts w:ascii="Times New Roman" w:hAnsi="Times New Roman"/>
                <w:sz w:val="18"/>
                <w:szCs w:val="18"/>
                <w:lang w:val="en-GB"/>
              </w:rPr>
            </w:pPr>
          </w:p>
        </w:tc>
      </w:tr>
      <w:tr w:rsidR="00AB42EF" w:rsidRPr="00BA50D8" w14:paraId="66A9E3E0" w14:textId="77777777" w:rsidTr="00AB42EF">
        <w:tc>
          <w:tcPr>
            <w:tcW w:w="6629" w:type="dxa"/>
            <w:tcBorders>
              <w:right w:val="nil"/>
            </w:tcBorders>
            <w:noWrap/>
            <w:tcMar>
              <w:left w:w="0" w:type="dxa"/>
              <w:right w:w="0" w:type="dxa"/>
            </w:tcMar>
          </w:tcPr>
          <w:p w14:paraId="66A9E3DD"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would be frozen to the spot by the sight of a snake or spider.</w:t>
            </w:r>
          </w:p>
        </w:tc>
        <w:tc>
          <w:tcPr>
            <w:tcW w:w="737" w:type="dxa"/>
            <w:tcBorders>
              <w:top w:val="nil"/>
              <w:left w:val="nil"/>
              <w:bottom w:val="nil"/>
              <w:right w:val="nil"/>
            </w:tcBorders>
            <w:noWrap/>
          </w:tcPr>
          <w:p w14:paraId="66A9E3DE" w14:textId="77777777" w:rsidR="00AB42EF" w:rsidRPr="00065B92" w:rsidRDefault="004B29C0"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w:t>
            </w:r>
            <w:r w:rsidR="0003001F">
              <w:rPr>
                <w:rFonts w:ascii="Times New Roman" w:hAnsi="Times New Roman"/>
                <w:sz w:val="18"/>
                <w:szCs w:val="18"/>
                <w:lang w:val="en-GB"/>
              </w:rPr>
              <w:t>58</w:t>
            </w:r>
          </w:p>
        </w:tc>
        <w:tc>
          <w:tcPr>
            <w:tcW w:w="737" w:type="dxa"/>
            <w:tcBorders>
              <w:top w:val="nil"/>
              <w:left w:val="nil"/>
              <w:bottom w:val="nil"/>
              <w:right w:val="nil"/>
            </w:tcBorders>
            <w:noWrap/>
          </w:tcPr>
          <w:p w14:paraId="66A9E3DF" w14:textId="77777777" w:rsidR="00AB42EF" w:rsidRPr="00DF1961" w:rsidRDefault="00AB42EF" w:rsidP="00BA50D8">
            <w:pPr>
              <w:pStyle w:val="NoSpacing"/>
              <w:jc w:val="center"/>
              <w:rPr>
                <w:rFonts w:ascii="Times New Roman" w:hAnsi="Times New Roman"/>
                <w:sz w:val="18"/>
                <w:szCs w:val="18"/>
                <w:lang w:val="en-GB"/>
              </w:rPr>
            </w:pPr>
          </w:p>
        </w:tc>
      </w:tr>
      <w:tr w:rsidR="00AB42EF" w:rsidRPr="00BA50D8" w14:paraId="66A9E3E4" w14:textId="77777777" w:rsidTr="00AB42EF">
        <w:tc>
          <w:tcPr>
            <w:tcW w:w="6629" w:type="dxa"/>
            <w:tcBorders>
              <w:right w:val="nil"/>
            </w:tcBorders>
            <w:noWrap/>
            <w:tcMar>
              <w:left w:w="0" w:type="dxa"/>
              <w:right w:w="0" w:type="dxa"/>
            </w:tcMar>
          </w:tcPr>
          <w:p w14:paraId="66A9E3E1"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Looking down from a great height makes me freeze.</w:t>
            </w:r>
          </w:p>
        </w:tc>
        <w:tc>
          <w:tcPr>
            <w:tcW w:w="737" w:type="dxa"/>
            <w:tcBorders>
              <w:top w:val="nil"/>
              <w:left w:val="nil"/>
              <w:bottom w:val="nil"/>
              <w:right w:val="nil"/>
            </w:tcBorders>
            <w:noWrap/>
          </w:tcPr>
          <w:p w14:paraId="66A9E3E2" w14:textId="77777777" w:rsidR="00AB42EF" w:rsidRPr="00065B92" w:rsidRDefault="004B29C0"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w:t>
            </w:r>
            <w:r w:rsidR="0003001F">
              <w:rPr>
                <w:rFonts w:ascii="Times New Roman" w:hAnsi="Times New Roman"/>
                <w:sz w:val="18"/>
                <w:szCs w:val="18"/>
                <w:lang w:val="en-GB"/>
              </w:rPr>
              <w:t>55</w:t>
            </w:r>
          </w:p>
        </w:tc>
        <w:tc>
          <w:tcPr>
            <w:tcW w:w="737" w:type="dxa"/>
            <w:tcBorders>
              <w:top w:val="nil"/>
              <w:left w:val="nil"/>
              <w:bottom w:val="nil"/>
              <w:right w:val="nil"/>
            </w:tcBorders>
            <w:noWrap/>
          </w:tcPr>
          <w:p w14:paraId="66A9E3E3" w14:textId="77777777" w:rsidR="00AB42EF" w:rsidRPr="00DF1961" w:rsidRDefault="00AB42EF" w:rsidP="00BA50D8">
            <w:pPr>
              <w:pStyle w:val="NoSpacing"/>
              <w:jc w:val="center"/>
              <w:rPr>
                <w:rFonts w:ascii="Times New Roman" w:hAnsi="Times New Roman"/>
                <w:sz w:val="18"/>
                <w:szCs w:val="18"/>
                <w:lang w:val="en-GB"/>
              </w:rPr>
            </w:pPr>
          </w:p>
        </w:tc>
      </w:tr>
      <w:tr w:rsidR="00AB42EF" w:rsidRPr="00BA50D8" w14:paraId="66A9E3E8" w14:textId="77777777" w:rsidTr="00AB42EF">
        <w:tc>
          <w:tcPr>
            <w:tcW w:w="6629" w:type="dxa"/>
            <w:tcBorders>
              <w:right w:val="nil"/>
            </w:tcBorders>
            <w:noWrap/>
            <w:tcMar>
              <w:left w:w="0" w:type="dxa"/>
              <w:right w:w="0" w:type="dxa"/>
            </w:tcMar>
          </w:tcPr>
          <w:p w14:paraId="66A9E3E5"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would instantly freeze if I opened the door to find a stranger in the house.</w:t>
            </w:r>
          </w:p>
        </w:tc>
        <w:tc>
          <w:tcPr>
            <w:tcW w:w="737" w:type="dxa"/>
            <w:tcBorders>
              <w:top w:val="nil"/>
              <w:left w:val="nil"/>
              <w:bottom w:val="nil"/>
              <w:right w:val="nil"/>
            </w:tcBorders>
            <w:noWrap/>
          </w:tcPr>
          <w:p w14:paraId="66A9E3E6" w14:textId="77777777" w:rsidR="00AB42EF" w:rsidRPr="00065B92" w:rsidRDefault="00AB42EF"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0.5</w:t>
            </w:r>
            <w:r w:rsidR="0003001F">
              <w:rPr>
                <w:rFonts w:ascii="Times New Roman" w:hAnsi="Times New Roman"/>
                <w:sz w:val="18"/>
                <w:szCs w:val="18"/>
                <w:lang w:val="en-GB"/>
              </w:rPr>
              <w:t>3</w:t>
            </w:r>
          </w:p>
        </w:tc>
        <w:tc>
          <w:tcPr>
            <w:tcW w:w="737" w:type="dxa"/>
            <w:tcBorders>
              <w:top w:val="nil"/>
              <w:left w:val="nil"/>
              <w:bottom w:val="nil"/>
              <w:right w:val="nil"/>
            </w:tcBorders>
            <w:noWrap/>
          </w:tcPr>
          <w:p w14:paraId="66A9E3E7" w14:textId="77777777" w:rsidR="00AB42EF" w:rsidRPr="00DF1961" w:rsidRDefault="00AB42EF" w:rsidP="00BA50D8">
            <w:pPr>
              <w:pStyle w:val="NoSpacing"/>
              <w:jc w:val="center"/>
              <w:rPr>
                <w:rFonts w:ascii="Times New Roman" w:hAnsi="Times New Roman"/>
                <w:sz w:val="18"/>
                <w:szCs w:val="18"/>
                <w:lang w:val="en-GB"/>
              </w:rPr>
            </w:pPr>
          </w:p>
        </w:tc>
      </w:tr>
      <w:tr w:rsidR="00AB42EF" w:rsidRPr="00BA50D8" w14:paraId="66A9E3EC" w14:textId="77777777" w:rsidTr="00AB42EF">
        <w:tc>
          <w:tcPr>
            <w:tcW w:w="6629" w:type="dxa"/>
            <w:tcBorders>
              <w:right w:val="nil"/>
            </w:tcBorders>
            <w:noWrap/>
            <w:tcMar>
              <w:left w:w="0" w:type="dxa"/>
              <w:right w:w="0" w:type="dxa"/>
            </w:tcMar>
          </w:tcPr>
          <w:p w14:paraId="66A9E3E9"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would freeze if I was on a turbulent aircraft.</w:t>
            </w:r>
          </w:p>
        </w:tc>
        <w:tc>
          <w:tcPr>
            <w:tcW w:w="737" w:type="dxa"/>
            <w:tcBorders>
              <w:top w:val="nil"/>
              <w:left w:val="nil"/>
              <w:bottom w:val="nil"/>
              <w:right w:val="nil"/>
            </w:tcBorders>
            <w:noWrap/>
          </w:tcPr>
          <w:p w14:paraId="66A9E3EA" w14:textId="77777777" w:rsidR="00AB42EF" w:rsidRPr="00065B92" w:rsidRDefault="00AB42EF"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0.5</w:t>
            </w:r>
            <w:r w:rsidR="0003001F">
              <w:rPr>
                <w:rFonts w:ascii="Times New Roman" w:hAnsi="Times New Roman"/>
                <w:sz w:val="18"/>
                <w:szCs w:val="18"/>
                <w:lang w:val="en-GB"/>
              </w:rPr>
              <w:t>4</w:t>
            </w:r>
          </w:p>
        </w:tc>
        <w:tc>
          <w:tcPr>
            <w:tcW w:w="737" w:type="dxa"/>
            <w:tcBorders>
              <w:top w:val="nil"/>
              <w:left w:val="nil"/>
              <w:bottom w:val="nil"/>
              <w:right w:val="nil"/>
            </w:tcBorders>
            <w:noWrap/>
          </w:tcPr>
          <w:p w14:paraId="66A9E3EB" w14:textId="77777777" w:rsidR="00AB42EF" w:rsidRPr="00DF1961" w:rsidRDefault="00AB42EF" w:rsidP="00BA50D8">
            <w:pPr>
              <w:pStyle w:val="NoSpacing"/>
              <w:jc w:val="center"/>
              <w:rPr>
                <w:rFonts w:ascii="Times New Roman" w:hAnsi="Times New Roman"/>
                <w:sz w:val="18"/>
                <w:szCs w:val="18"/>
                <w:lang w:val="en-GB"/>
              </w:rPr>
            </w:pPr>
          </w:p>
        </w:tc>
      </w:tr>
      <w:tr w:rsidR="00AB42EF" w:rsidRPr="00BA50D8" w14:paraId="66A9E3F0" w14:textId="77777777" w:rsidTr="00AB42EF">
        <w:tc>
          <w:tcPr>
            <w:tcW w:w="6629" w:type="dxa"/>
            <w:tcBorders>
              <w:right w:val="nil"/>
            </w:tcBorders>
            <w:noWrap/>
            <w:tcMar>
              <w:left w:w="0" w:type="dxa"/>
              <w:right w:w="0" w:type="dxa"/>
            </w:tcMar>
          </w:tcPr>
          <w:p w14:paraId="66A9E3ED"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am the sort of person who easily freezes-up when scared.</w:t>
            </w:r>
          </w:p>
        </w:tc>
        <w:tc>
          <w:tcPr>
            <w:tcW w:w="737" w:type="dxa"/>
            <w:tcBorders>
              <w:top w:val="nil"/>
              <w:left w:val="nil"/>
              <w:bottom w:val="nil"/>
              <w:right w:val="nil"/>
            </w:tcBorders>
            <w:noWrap/>
          </w:tcPr>
          <w:p w14:paraId="66A9E3EE" w14:textId="77777777" w:rsidR="00AB42EF" w:rsidRPr="00065B92" w:rsidRDefault="002A6497"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w:t>
            </w:r>
            <w:r w:rsidR="0003001F">
              <w:rPr>
                <w:rFonts w:ascii="Times New Roman" w:hAnsi="Times New Roman"/>
                <w:sz w:val="18"/>
                <w:szCs w:val="18"/>
                <w:lang w:val="en-GB"/>
              </w:rPr>
              <w:t>72</w:t>
            </w:r>
          </w:p>
        </w:tc>
        <w:tc>
          <w:tcPr>
            <w:tcW w:w="737" w:type="dxa"/>
            <w:tcBorders>
              <w:top w:val="nil"/>
              <w:left w:val="nil"/>
              <w:bottom w:val="nil"/>
              <w:right w:val="nil"/>
            </w:tcBorders>
            <w:noWrap/>
          </w:tcPr>
          <w:p w14:paraId="66A9E3EF" w14:textId="77777777" w:rsidR="00AB42EF" w:rsidRPr="00DF1961" w:rsidRDefault="00AB42EF" w:rsidP="00BA50D8">
            <w:pPr>
              <w:pStyle w:val="NoSpacing"/>
              <w:jc w:val="center"/>
              <w:rPr>
                <w:rFonts w:ascii="Times New Roman" w:hAnsi="Times New Roman"/>
                <w:sz w:val="18"/>
                <w:szCs w:val="18"/>
                <w:lang w:val="en-GB"/>
              </w:rPr>
            </w:pPr>
          </w:p>
        </w:tc>
      </w:tr>
      <w:tr w:rsidR="00AB42EF" w:rsidRPr="00BA50D8" w14:paraId="66A9E3F4" w14:textId="77777777" w:rsidTr="00AB42EF">
        <w:tc>
          <w:tcPr>
            <w:tcW w:w="6629" w:type="dxa"/>
            <w:tcBorders>
              <w:right w:val="nil"/>
            </w:tcBorders>
            <w:noWrap/>
            <w:tcMar>
              <w:left w:w="0" w:type="dxa"/>
              <w:right w:w="0" w:type="dxa"/>
            </w:tcMar>
          </w:tcPr>
          <w:p w14:paraId="66A9E3F1" w14:textId="77777777" w:rsidR="00AB42EF" w:rsidRPr="00BA50D8" w:rsidRDefault="00AB42EF" w:rsidP="00264070">
            <w:pPr>
              <w:pStyle w:val="NoSpacing"/>
              <w:rPr>
                <w:rFonts w:ascii="Times New Roman" w:hAnsi="Times New Roman"/>
                <w:b/>
                <w:sz w:val="18"/>
                <w:szCs w:val="18"/>
                <w:lang w:val="en-GB"/>
              </w:rPr>
            </w:pPr>
            <w:r w:rsidRPr="00BA50D8">
              <w:rPr>
                <w:rFonts w:ascii="Times New Roman" w:hAnsi="Times New Roman"/>
                <w:b/>
                <w:sz w:val="18"/>
                <w:szCs w:val="18"/>
                <w:lang w:val="en-GB"/>
              </w:rPr>
              <w:t>Motor Planning Interruption</w:t>
            </w:r>
          </w:p>
        </w:tc>
        <w:tc>
          <w:tcPr>
            <w:tcW w:w="737" w:type="dxa"/>
            <w:tcBorders>
              <w:top w:val="nil"/>
              <w:left w:val="nil"/>
              <w:bottom w:val="nil"/>
              <w:right w:val="nil"/>
            </w:tcBorders>
            <w:noWrap/>
          </w:tcPr>
          <w:p w14:paraId="66A9E3F2"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3F3" w14:textId="77777777" w:rsidR="00AB42EF" w:rsidRPr="002C28F8" w:rsidRDefault="00AB42EF" w:rsidP="00BA50D8">
            <w:pPr>
              <w:pStyle w:val="NoSpacing"/>
              <w:jc w:val="center"/>
              <w:rPr>
                <w:rFonts w:ascii="Times New Roman" w:hAnsi="Times New Roman"/>
                <w:sz w:val="18"/>
                <w:szCs w:val="18"/>
                <w:lang w:val="en-GB"/>
              </w:rPr>
            </w:pPr>
          </w:p>
        </w:tc>
      </w:tr>
      <w:tr w:rsidR="00AB42EF" w:rsidRPr="00BA50D8" w14:paraId="66A9E3F8" w14:textId="77777777" w:rsidTr="00AB42EF">
        <w:tc>
          <w:tcPr>
            <w:tcW w:w="6629" w:type="dxa"/>
            <w:tcBorders>
              <w:right w:val="nil"/>
            </w:tcBorders>
            <w:noWrap/>
            <w:tcMar>
              <w:left w:w="0" w:type="dxa"/>
              <w:right w:w="0" w:type="dxa"/>
            </w:tcMar>
          </w:tcPr>
          <w:p w14:paraId="66A9E3F5"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take a long time to make decisions.</w:t>
            </w:r>
          </w:p>
        </w:tc>
        <w:tc>
          <w:tcPr>
            <w:tcW w:w="737" w:type="dxa"/>
            <w:tcBorders>
              <w:top w:val="nil"/>
              <w:left w:val="nil"/>
              <w:bottom w:val="nil"/>
              <w:right w:val="nil"/>
            </w:tcBorders>
            <w:noWrap/>
          </w:tcPr>
          <w:p w14:paraId="66A9E3F6"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3F7" w14:textId="77777777" w:rsidR="00AB42EF" w:rsidRPr="00065B92" w:rsidRDefault="0003001F" w:rsidP="00BA50D8">
            <w:pPr>
              <w:pStyle w:val="NoSpacing"/>
              <w:jc w:val="center"/>
              <w:rPr>
                <w:rFonts w:ascii="Times New Roman" w:hAnsi="Times New Roman"/>
                <w:sz w:val="18"/>
                <w:szCs w:val="18"/>
                <w:lang w:val="en-GB"/>
              </w:rPr>
            </w:pPr>
            <w:r>
              <w:rPr>
                <w:rFonts w:ascii="Times New Roman" w:hAnsi="Times New Roman"/>
                <w:sz w:val="18"/>
                <w:szCs w:val="18"/>
                <w:lang w:val="en-GB"/>
              </w:rPr>
              <w:t>0.52</w:t>
            </w:r>
          </w:p>
        </w:tc>
      </w:tr>
      <w:tr w:rsidR="00AB42EF" w:rsidRPr="00BA50D8" w14:paraId="66A9E3FC" w14:textId="77777777" w:rsidTr="00AB42EF">
        <w:tc>
          <w:tcPr>
            <w:tcW w:w="6629" w:type="dxa"/>
            <w:tcBorders>
              <w:right w:val="nil"/>
            </w:tcBorders>
            <w:noWrap/>
            <w:tcMar>
              <w:left w:w="0" w:type="dxa"/>
              <w:right w:w="0" w:type="dxa"/>
            </w:tcMar>
          </w:tcPr>
          <w:p w14:paraId="66A9E3F9"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 xml:space="preserve">When nervous, I find it hard to say the right words. </w:t>
            </w:r>
          </w:p>
        </w:tc>
        <w:tc>
          <w:tcPr>
            <w:tcW w:w="737" w:type="dxa"/>
            <w:tcBorders>
              <w:top w:val="nil"/>
              <w:left w:val="nil"/>
              <w:bottom w:val="nil"/>
              <w:right w:val="nil"/>
            </w:tcBorders>
            <w:noWrap/>
          </w:tcPr>
          <w:p w14:paraId="66A9E3FA"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3FB" w14:textId="77777777" w:rsidR="00AB42EF" w:rsidRPr="00065B92" w:rsidRDefault="00AB42EF"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w:t>
            </w:r>
            <w:r w:rsidR="0003001F">
              <w:rPr>
                <w:rFonts w:ascii="Times New Roman" w:hAnsi="Times New Roman"/>
                <w:sz w:val="18"/>
                <w:szCs w:val="18"/>
                <w:lang w:val="en-GB"/>
              </w:rPr>
              <w:t>46</w:t>
            </w:r>
          </w:p>
        </w:tc>
      </w:tr>
      <w:tr w:rsidR="00AB42EF" w:rsidRPr="00BA50D8" w14:paraId="66A9E400" w14:textId="77777777" w:rsidTr="00AB42EF">
        <w:tc>
          <w:tcPr>
            <w:tcW w:w="6629" w:type="dxa"/>
            <w:tcBorders>
              <w:right w:val="nil"/>
            </w:tcBorders>
            <w:noWrap/>
            <w:tcMar>
              <w:left w:w="0" w:type="dxa"/>
              <w:right w:w="0" w:type="dxa"/>
            </w:tcMar>
          </w:tcPr>
          <w:p w14:paraId="66A9E3FD"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When nervous, I sometimes find my thoughts are interrupted.</w:t>
            </w:r>
          </w:p>
        </w:tc>
        <w:tc>
          <w:tcPr>
            <w:tcW w:w="737" w:type="dxa"/>
            <w:tcBorders>
              <w:top w:val="nil"/>
              <w:left w:val="nil"/>
              <w:bottom w:val="nil"/>
              <w:right w:val="nil"/>
            </w:tcBorders>
            <w:noWrap/>
          </w:tcPr>
          <w:p w14:paraId="66A9E3FE"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3FF" w14:textId="77777777" w:rsidR="00AB42EF" w:rsidRPr="00065B92" w:rsidRDefault="0003001F" w:rsidP="00BA50D8">
            <w:pPr>
              <w:pStyle w:val="NoSpacing"/>
              <w:jc w:val="center"/>
              <w:rPr>
                <w:rFonts w:ascii="Times New Roman" w:hAnsi="Times New Roman"/>
                <w:sz w:val="18"/>
                <w:szCs w:val="18"/>
                <w:lang w:val="en-GB"/>
              </w:rPr>
            </w:pPr>
            <w:r>
              <w:rPr>
                <w:rFonts w:ascii="Times New Roman" w:hAnsi="Times New Roman"/>
                <w:sz w:val="18"/>
                <w:szCs w:val="18"/>
                <w:lang w:val="en-GB"/>
              </w:rPr>
              <w:t>0.61</w:t>
            </w:r>
          </w:p>
        </w:tc>
      </w:tr>
      <w:tr w:rsidR="00AB42EF" w:rsidRPr="00BA50D8" w14:paraId="66A9E404" w14:textId="77777777" w:rsidTr="00AB42EF">
        <w:tc>
          <w:tcPr>
            <w:tcW w:w="6629" w:type="dxa"/>
            <w:tcBorders>
              <w:right w:val="nil"/>
            </w:tcBorders>
            <w:noWrap/>
            <w:tcMar>
              <w:left w:w="0" w:type="dxa"/>
              <w:right w:w="0" w:type="dxa"/>
            </w:tcMar>
          </w:tcPr>
          <w:p w14:paraId="66A9E401"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often find myself lost for words.</w:t>
            </w:r>
          </w:p>
        </w:tc>
        <w:tc>
          <w:tcPr>
            <w:tcW w:w="737" w:type="dxa"/>
            <w:tcBorders>
              <w:top w:val="nil"/>
              <w:left w:val="nil"/>
              <w:bottom w:val="nil"/>
              <w:right w:val="nil"/>
            </w:tcBorders>
            <w:noWrap/>
          </w:tcPr>
          <w:p w14:paraId="66A9E402"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03" w14:textId="77777777" w:rsidR="00AB42EF" w:rsidRPr="00065B92" w:rsidRDefault="0003001F" w:rsidP="00BA50D8">
            <w:pPr>
              <w:pStyle w:val="NoSpacing"/>
              <w:jc w:val="center"/>
              <w:rPr>
                <w:rFonts w:ascii="Times New Roman" w:hAnsi="Times New Roman"/>
                <w:sz w:val="18"/>
                <w:szCs w:val="18"/>
                <w:lang w:val="en-GB"/>
              </w:rPr>
            </w:pPr>
            <w:r>
              <w:rPr>
                <w:rFonts w:ascii="Times New Roman" w:hAnsi="Times New Roman"/>
                <w:sz w:val="18"/>
                <w:szCs w:val="18"/>
                <w:lang w:val="en-GB"/>
              </w:rPr>
              <w:t>0.61</w:t>
            </w:r>
          </w:p>
        </w:tc>
      </w:tr>
      <w:tr w:rsidR="00AB42EF" w:rsidRPr="00BA50D8" w14:paraId="66A9E408" w14:textId="77777777" w:rsidTr="00AB42EF">
        <w:tc>
          <w:tcPr>
            <w:tcW w:w="6629" w:type="dxa"/>
            <w:tcBorders>
              <w:right w:val="nil"/>
            </w:tcBorders>
            <w:noWrap/>
            <w:tcMar>
              <w:left w:w="0" w:type="dxa"/>
              <w:right w:w="0" w:type="dxa"/>
            </w:tcMar>
          </w:tcPr>
          <w:p w14:paraId="66A9E405"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My behavior is easily interrupted.</w:t>
            </w:r>
          </w:p>
        </w:tc>
        <w:tc>
          <w:tcPr>
            <w:tcW w:w="737" w:type="dxa"/>
            <w:tcBorders>
              <w:top w:val="nil"/>
              <w:left w:val="nil"/>
              <w:bottom w:val="nil"/>
              <w:right w:val="nil"/>
            </w:tcBorders>
            <w:noWrap/>
          </w:tcPr>
          <w:p w14:paraId="66A9E406"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07" w14:textId="77777777" w:rsidR="00AB42EF" w:rsidRPr="00065B92" w:rsidRDefault="0003001F" w:rsidP="00BA50D8">
            <w:pPr>
              <w:pStyle w:val="NoSpacing"/>
              <w:jc w:val="center"/>
              <w:rPr>
                <w:rFonts w:ascii="Times New Roman" w:hAnsi="Times New Roman"/>
                <w:sz w:val="18"/>
                <w:szCs w:val="18"/>
                <w:lang w:val="en-GB"/>
              </w:rPr>
            </w:pPr>
            <w:r>
              <w:rPr>
                <w:rFonts w:ascii="Times New Roman" w:hAnsi="Times New Roman"/>
                <w:sz w:val="18"/>
                <w:szCs w:val="18"/>
                <w:lang w:val="en-GB"/>
              </w:rPr>
              <w:t>0.56</w:t>
            </w:r>
          </w:p>
        </w:tc>
      </w:tr>
      <w:tr w:rsidR="00AB42EF" w:rsidRPr="00BA50D8" w14:paraId="66A9E40C" w14:textId="77777777" w:rsidTr="00AB42EF">
        <w:tc>
          <w:tcPr>
            <w:tcW w:w="6629" w:type="dxa"/>
            <w:tcBorders>
              <w:right w:val="nil"/>
            </w:tcBorders>
            <w:noWrap/>
            <w:tcMar>
              <w:left w:w="0" w:type="dxa"/>
              <w:right w:w="0" w:type="dxa"/>
            </w:tcMar>
          </w:tcPr>
          <w:p w14:paraId="66A9E409" w14:textId="77777777" w:rsidR="00AB42EF" w:rsidRPr="00BA50D8" w:rsidRDefault="00AB42EF" w:rsidP="00264070">
            <w:pPr>
              <w:pStyle w:val="NoSpacing"/>
              <w:rPr>
                <w:rFonts w:ascii="Times New Roman" w:hAnsi="Times New Roman"/>
                <w:b/>
                <w:sz w:val="18"/>
                <w:szCs w:val="18"/>
                <w:lang w:val="en-GB"/>
              </w:rPr>
            </w:pPr>
            <w:r w:rsidRPr="00BA50D8">
              <w:rPr>
                <w:rFonts w:ascii="Times New Roman" w:hAnsi="Times New Roman"/>
                <w:b/>
                <w:sz w:val="18"/>
                <w:szCs w:val="18"/>
                <w:lang w:val="en-GB"/>
              </w:rPr>
              <w:t>Cautious Risk Assessment</w:t>
            </w:r>
          </w:p>
        </w:tc>
        <w:tc>
          <w:tcPr>
            <w:tcW w:w="737" w:type="dxa"/>
            <w:tcBorders>
              <w:top w:val="nil"/>
              <w:left w:val="nil"/>
              <w:bottom w:val="nil"/>
              <w:right w:val="nil"/>
            </w:tcBorders>
            <w:noWrap/>
          </w:tcPr>
          <w:p w14:paraId="66A9E40A"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0B" w14:textId="77777777" w:rsidR="00AB42EF" w:rsidRPr="002C28F8" w:rsidRDefault="00AB42EF" w:rsidP="00BA50D8">
            <w:pPr>
              <w:pStyle w:val="NoSpacing"/>
              <w:jc w:val="center"/>
              <w:rPr>
                <w:rFonts w:ascii="Times New Roman" w:hAnsi="Times New Roman"/>
                <w:sz w:val="18"/>
                <w:szCs w:val="18"/>
                <w:lang w:val="en-GB"/>
              </w:rPr>
            </w:pPr>
          </w:p>
        </w:tc>
      </w:tr>
      <w:tr w:rsidR="00AB42EF" w:rsidRPr="00BA50D8" w14:paraId="66A9E410" w14:textId="77777777" w:rsidTr="00AB42EF">
        <w:tc>
          <w:tcPr>
            <w:tcW w:w="6629" w:type="dxa"/>
            <w:tcBorders>
              <w:right w:val="nil"/>
            </w:tcBorders>
            <w:noWrap/>
            <w:tcMar>
              <w:left w:w="0" w:type="dxa"/>
              <w:right w:w="0" w:type="dxa"/>
            </w:tcMar>
          </w:tcPr>
          <w:p w14:paraId="66A9E40D"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worry a lot.</w:t>
            </w:r>
          </w:p>
        </w:tc>
        <w:tc>
          <w:tcPr>
            <w:tcW w:w="737" w:type="dxa"/>
            <w:tcBorders>
              <w:top w:val="nil"/>
              <w:left w:val="nil"/>
              <w:bottom w:val="nil"/>
              <w:right w:val="nil"/>
            </w:tcBorders>
            <w:noWrap/>
          </w:tcPr>
          <w:p w14:paraId="66A9E40E"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0F" w14:textId="77777777" w:rsidR="00AB42EF" w:rsidRPr="00065B92" w:rsidRDefault="0003001F" w:rsidP="00BA50D8">
            <w:pPr>
              <w:pStyle w:val="NoSpacing"/>
              <w:jc w:val="center"/>
              <w:rPr>
                <w:rFonts w:ascii="Times New Roman" w:hAnsi="Times New Roman"/>
                <w:sz w:val="18"/>
                <w:szCs w:val="18"/>
                <w:lang w:val="en-GB"/>
              </w:rPr>
            </w:pPr>
            <w:r>
              <w:rPr>
                <w:rFonts w:ascii="Times New Roman" w:hAnsi="Times New Roman"/>
                <w:sz w:val="18"/>
                <w:szCs w:val="18"/>
                <w:lang w:val="en-GB"/>
              </w:rPr>
              <w:t>0.47</w:t>
            </w:r>
          </w:p>
        </w:tc>
      </w:tr>
      <w:tr w:rsidR="00AB42EF" w:rsidRPr="00BA50D8" w14:paraId="66A9E414" w14:textId="77777777" w:rsidTr="00AB42EF">
        <w:tc>
          <w:tcPr>
            <w:tcW w:w="6629" w:type="dxa"/>
            <w:tcBorders>
              <w:right w:val="nil"/>
            </w:tcBorders>
            <w:noWrap/>
            <w:tcMar>
              <w:left w:w="0" w:type="dxa"/>
              <w:right w:w="0" w:type="dxa"/>
            </w:tcMar>
          </w:tcPr>
          <w:p w14:paraId="66A9E411"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People are often telling me not to worry.</w:t>
            </w:r>
          </w:p>
        </w:tc>
        <w:tc>
          <w:tcPr>
            <w:tcW w:w="737" w:type="dxa"/>
            <w:tcBorders>
              <w:top w:val="nil"/>
              <w:left w:val="nil"/>
              <w:bottom w:val="nil"/>
              <w:right w:val="nil"/>
            </w:tcBorders>
            <w:noWrap/>
          </w:tcPr>
          <w:p w14:paraId="66A9E412"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13" w14:textId="77777777" w:rsidR="00AB42EF" w:rsidRPr="00065B92" w:rsidRDefault="009B463B"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0.6</w:t>
            </w:r>
            <w:r w:rsidR="0003001F">
              <w:rPr>
                <w:rFonts w:ascii="Times New Roman" w:hAnsi="Times New Roman"/>
                <w:sz w:val="18"/>
                <w:szCs w:val="18"/>
                <w:lang w:val="en-GB"/>
              </w:rPr>
              <w:t>1</w:t>
            </w:r>
          </w:p>
        </w:tc>
      </w:tr>
      <w:tr w:rsidR="00AB42EF" w:rsidRPr="00BA50D8" w14:paraId="66A9E418" w14:textId="77777777" w:rsidTr="00AB42EF">
        <w:tc>
          <w:tcPr>
            <w:tcW w:w="6629" w:type="dxa"/>
            <w:tcBorders>
              <w:right w:val="nil"/>
            </w:tcBorders>
            <w:noWrap/>
            <w:tcMar>
              <w:left w:w="0" w:type="dxa"/>
              <w:right w:w="0" w:type="dxa"/>
            </w:tcMar>
          </w:tcPr>
          <w:p w14:paraId="66A9E415"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often worry about letting down other people.</w:t>
            </w:r>
          </w:p>
        </w:tc>
        <w:tc>
          <w:tcPr>
            <w:tcW w:w="737" w:type="dxa"/>
            <w:tcBorders>
              <w:top w:val="nil"/>
              <w:left w:val="nil"/>
              <w:bottom w:val="nil"/>
              <w:right w:val="nil"/>
            </w:tcBorders>
            <w:noWrap/>
          </w:tcPr>
          <w:p w14:paraId="66A9E416"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17" w14:textId="77777777" w:rsidR="00AB42EF" w:rsidRPr="00065B92" w:rsidRDefault="009B463B"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0.5</w:t>
            </w:r>
            <w:r w:rsidR="0003001F">
              <w:rPr>
                <w:rFonts w:ascii="Times New Roman" w:hAnsi="Times New Roman"/>
                <w:sz w:val="18"/>
                <w:szCs w:val="18"/>
                <w:lang w:val="en-GB"/>
              </w:rPr>
              <w:t>4</w:t>
            </w:r>
          </w:p>
        </w:tc>
      </w:tr>
      <w:tr w:rsidR="00AB42EF" w:rsidRPr="00BA50D8" w14:paraId="66A9E41C" w14:textId="77777777" w:rsidTr="00AB42EF">
        <w:tc>
          <w:tcPr>
            <w:tcW w:w="6629" w:type="dxa"/>
            <w:tcBorders>
              <w:right w:val="nil"/>
            </w:tcBorders>
            <w:noWrap/>
            <w:tcMar>
              <w:left w:w="0" w:type="dxa"/>
              <w:right w:w="0" w:type="dxa"/>
            </w:tcMar>
          </w:tcPr>
          <w:p w14:paraId="66A9E419"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The thought of mistakes in my work worries me.</w:t>
            </w:r>
          </w:p>
        </w:tc>
        <w:tc>
          <w:tcPr>
            <w:tcW w:w="737" w:type="dxa"/>
            <w:tcBorders>
              <w:top w:val="nil"/>
              <w:left w:val="nil"/>
              <w:bottom w:val="nil"/>
              <w:right w:val="nil"/>
            </w:tcBorders>
            <w:noWrap/>
          </w:tcPr>
          <w:p w14:paraId="66A9E41A"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1B" w14:textId="77777777" w:rsidR="00AB42EF" w:rsidRPr="00065B92" w:rsidRDefault="00AB42EF"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0.5</w:t>
            </w:r>
            <w:r w:rsidR="0003001F">
              <w:rPr>
                <w:rFonts w:ascii="Times New Roman" w:hAnsi="Times New Roman"/>
                <w:sz w:val="18"/>
                <w:szCs w:val="18"/>
                <w:lang w:val="en-GB"/>
              </w:rPr>
              <w:t>8</w:t>
            </w:r>
          </w:p>
        </w:tc>
      </w:tr>
      <w:tr w:rsidR="00AB42EF" w:rsidRPr="00BA50D8" w14:paraId="66A9E420" w14:textId="77777777" w:rsidTr="00AB42EF">
        <w:tc>
          <w:tcPr>
            <w:tcW w:w="6629" w:type="dxa"/>
            <w:tcBorders>
              <w:right w:val="nil"/>
            </w:tcBorders>
            <w:noWrap/>
            <w:tcMar>
              <w:left w:w="0" w:type="dxa"/>
              <w:right w:w="0" w:type="dxa"/>
            </w:tcMar>
          </w:tcPr>
          <w:p w14:paraId="66A9E41D"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When trying to make a decision, I find myself constantly chewing it over.</w:t>
            </w:r>
          </w:p>
        </w:tc>
        <w:tc>
          <w:tcPr>
            <w:tcW w:w="737" w:type="dxa"/>
            <w:tcBorders>
              <w:top w:val="nil"/>
              <w:left w:val="nil"/>
              <w:bottom w:val="nil"/>
              <w:right w:val="nil"/>
            </w:tcBorders>
            <w:noWrap/>
          </w:tcPr>
          <w:p w14:paraId="66A9E41E"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1F" w14:textId="77777777" w:rsidR="00AB42EF" w:rsidRPr="00065B92" w:rsidRDefault="0003001F" w:rsidP="00BA50D8">
            <w:pPr>
              <w:pStyle w:val="NoSpacing"/>
              <w:jc w:val="center"/>
              <w:rPr>
                <w:rFonts w:ascii="Times New Roman" w:hAnsi="Times New Roman"/>
                <w:sz w:val="18"/>
                <w:szCs w:val="18"/>
                <w:lang w:val="en-GB"/>
              </w:rPr>
            </w:pPr>
            <w:r>
              <w:rPr>
                <w:rFonts w:ascii="Times New Roman" w:hAnsi="Times New Roman"/>
                <w:sz w:val="18"/>
                <w:szCs w:val="18"/>
                <w:lang w:val="en-GB"/>
              </w:rPr>
              <w:t>0.78</w:t>
            </w:r>
          </w:p>
        </w:tc>
      </w:tr>
      <w:tr w:rsidR="00AB42EF" w:rsidRPr="00BA50D8" w14:paraId="66A9E424" w14:textId="77777777" w:rsidTr="00AB42EF">
        <w:tc>
          <w:tcPr>
            <w:tcW w:w="6629" w:type="dxa"/>
            <w:tcBorders>
              <w:right w:val="nil"/>
            </w:tcBorders>
            <w:noWrap/>
            <w:tcMar>
              <w:left w:w="0" w:type="dxa"/>
              <w:right w:w="0" w:type="dxa"/>
            </w:tcMar>
          </w:tcPr>
          <w:p w14:paraId="66A9E421" w14:textId="77777777" w:rsidR="00AB42EF" w:rsidRPr="00BA50D8" w:rsidRDefault="00AB42EF" w:rsidP="00264070">
            <w:pPr>
              <w:pStyle w:val="NoSpacing"/>
              <w:rPr>
                <w:rFonts w:ascii="Times New Roman" w:hAnsi="Times New Roman"/>
                <w:b/>
                <w:sz w:val="18"/>
                <w:szCs w:val="18"/>
                <w:lang w:val="en-GB"/>
              </w:rPr>
            </w:pPr>
            <w:r w:rsidRPr="00BA50D8">
              <w:rPr>
                <w:rFonts w:ascii="Times New Roman" w:hAnsi="Times New Roman"/>
                <w:b/>
                <w:sz w:val="18"/>
                <w:szCs w:val="18"/>
                <w:lang w:val="en-GB"/>
              </w:rPr>
              <w:t>Obsessive Thoughts</w:t>
            </w:r>
          </w:p>
        </w:tc>
        <w:tc>
          <w:tcPr>
            <w:tcW w:w="737" w:type="dxa"/>
            <w:tcBorders>
              <w:top w:val="nil"/>
              <w:left w:val="nil"/>
              <w:bottom w:val="nil"/>
              <w:right w:val="nil"/>
            </w:tcBorders>
            <w:noWrap/>
          </w:tcPr>
          <w:p w14:paraId="66A9E422"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23" w14:textId="77777777" w:rsidR="00AB42EF" w:rsidRPr="002C28F8" w:rsidRDefault="00AB42EF" w:rsidP="00BA50D8">
            <w:pPr>
              <w:pStyle w:val="NoSpacing"/>
              <w:jc w:val="center"/>
              <w:rPr>
                <w:rFonts w:ascii="Times New Roman" w:hAnsi="Times New Roman"/>
                <w:sz w:val="18"/>
                <w:szCs w:val="18"/>
                <w:lang w:val="en-GB"/>
              </w:rPr>
            </w:pPr>
          </w:p>
        </w:tc>
      </w:tr>
      <w:tr w:rsidR="00AB42EF" w:rsidRPr="00BA50D8" w14:paraId="66A9E428" w14:textId="77777777" w:rsidTr="00AB42EF">
        <w:tc>
          <w:tcPr>
            <w:tcW w:w="6629" w:type="dxa"/>
            <w:tcBorders>
              <w:right w:val="nil"/>
            </w:tcBorders>
            <w:noWrap/>
            <w:tcMar>
              <w:left w:w="0" w:type="dxa"/>
              <w:right w:w="0" w:type="dxa"/>
            </w:tcMar>
          </w:tcPr>
          <w:p w14:paraId="66A9E425"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find myself thinking about the same thing over and over again.</w:t>
            </w:r>
          </w:p>
        </w:tc>
        <w:tc>
          <w:tcPr>
            <w:tcW w:w="737" w:type="dxa"/>
            <w:tcBorders>
              <w:top w:val="nil"/>
              <w:left w:val="nil"/>
              <w:bottom w:val="nil"/>
              <w:right w:val="nil"/>
            </w:tcBorders>
            <w:noWrap/>
          </w:tcPr>
          <w:p w14:paraId="66A9E426"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27" w14:textId="77777777" w:rsidR="00AB42EF" w:rsidRPr="00065B92" w:rsidRDefault="0003001F" w:rsidP="00BA50D8">
            <w:pPr>
              <w:pStyle w:val="NoSpacing"/>
              <w:jc w:val="center"/>
              <w:rPr>
                <w:rFonts w:ascii="Times New Roman" w:hAnsi="Times New Roman"/>
                <w:sz w:val="18"/>
                <w:szCs w:val="18"/>
                <w:lang w:val="en-GB"/>
              </w:rPr>
            </w:pPr>
            <w:r>
              <w:rPr>
                <w:rFonts w:ascii="Times New Roman" w:hAnsi="Times New Roman"/>
                <w:sz w:val="18"/>
                <w:szCs w:val="18"/>
                <w:lang w:val="en-GB"/>
              </w:rPr>
              <w:t>0.66</w:t>
            </w:r>
          </w:p>
        </w:tc>
      </w:tr>
      <w:tr w:rsidR="00AB42EF" w:rsidRPr="00BA50D8" w14:paraId="66A9E42C" w14:textId="77777777" w:rsidTr="00AB42EF">
        <w:tc>
          <w:tcPr>
            <w:tcW w:w="6629" w:type="dxa"/>
            <w:tcBorders>
              <w:right w:val="nil"/>
            </w:tcBorders>
            <w:noWrap/>
            <w:tcMar>
              <w:left w:w="0" w:type="dxa"/>
              <w:right w:w="0" w:type="dxa"/>
            </w:tcMar>
          </w:tcPr>
          <w:p w14:paraId="66A9E429"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am often preoccupied with unpleasant thoughts.</w:t>
            </w:r>
          </w:p>
        </w:tc>
        <w:tc>
          <w:tcPr>
            <w:tcW w:w="737" w:type="dxa"/>
            <w:tcBorders>
              <w:top w:val="nil"/>
              <w:left w:val="nil"/>
              <w:bottom w:val="nil"/>
              <w:right w:val="nil"/>
            </w:tcBorders>
            <w:noWrap/>
          </w:tcPr>
          <w:p w14:paraId="66A9E42A"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2B" w14:textId="77777777" w:rsidR="00AB42EF" w:rsidRPr="00065B92" w:rsidRDefault="009B463B"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w:t>
            </w:r>
            <w:r w:rsidR="0003001F">
              <w:rPr>
                <w:rFonts w:ascii="Times New Roman" w:hAnsi="Times New Roman"/>
                <w:sz w:val="18"/>
                <w:szCs w:val="18"/>
                <w:lang w:val="en-GB"/>
              </w:rPr>
              <w:t>71</w:t>
            </w:r>
          </w:p>
        </w:tc>
      </w:tr>
      <w:tr w:rsidR="00AB42EF" w:rsidRPr="00BA50D8" w14:paraId="66A9E430" w14:textId="77777777" w:rsidTr="00AB42EF">
        <w:tc>
          <w:tcPr>
            <w:tcW w:w="6629" w:type="dxa"/>
            <w:tcBorders>
              <w:right w:val="nil"/>
            </w:tcBorders>
            <w:noWrap/>
            <w:tcMar>
              <w:left w:w="0" w:type="dxa"/>
              <w:right w:w="0" w:type="dxa"/>
            </w:tcMar>
          </w:tcPr>
          <w:p w14:paraId="66A9E42D"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It’s difficult to get some things out of my mind.</w:t>
            </w:r>
          </w:p>
        </w:tc>
        <w:tc>
          <w:tcPr>
            <w:tcW w:w="737" w:type="dxa"/>
            <w:tcBorders>
              <w:top w:val="nil"/>
              <w:left w:val="nil"/>
              <w:bottom w:val="nil"/>
              <w:right w:val="nil"/>
            </w:tcBorders>
            <w:noWrap/>
          </w:tcPr>
          <w:p w14:paraId="66A9E42E"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2F" w14:textId="77777777" w:rsidR="00AB42EF" w:rsidRPr="00065B92" w:rsidRDefault="00AB42EF"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w:t>
            </w:r>
            <w:r w:rsidR="0003001F">
              <w:rPr>
                <w:rFonts w:ascii="Times New Roman" w:hAnsi="Times New Roman"/>
                <w:sz w:val="18"/>
                <w:szCs w:val="18"/>
                <w:lang w:val="en-GB"/>
              </w:rPr>
              <w:t>52</w:t>
            </w:r>
          </w:p>
        </w:tc>
      </w:tr>
      <w:tr w:rsidR="00AB42EF" w:rsidRPr="00BA50D8" w14:paraId="66A9E434" w14:textId="77777777" w:rsidTr="00AB42EF">
        <w:tc>
          <w:tcPr>
            <w:tcW w:w="6629" w:type="dxa"/>
            <w:tcBorders>
              <w:right w:val="nil"/>
            </w:tcBorders>
            <w:noWrap/>
            <w:tcMar>
              <w:left w:w="0" w:type="dxa"/>
              <w:right w:w="0" w:type="dxa"/>
            </w:tcMar>
          </w:tcPr>
          <w:p w14:paraId="66A9E431"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My mind is dominated by recurring thoughts.</w:t>
            </w:r>
          </w:p>
        </w:tc>
        <w:tc>
          <w:tcPr>
            <w:tcW w:w="737" w:type="dxa"/>
            <w:tcBorders>
              <w:top w:val="nil"/>
              <w:left w:val="nil"/>
              <w:bottom w:val="nil"/>
              <w:right w:val="nil"/>
            </w:tcBorders>
            <w:noWrap/>
          </w:tcPr>
          <w:p w14:paraId="66A9E432"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33" w14:textId="77777777" w:rsidR="00AB42EF" w:rsidRPr="00065B92" w:rsidRDefault="0003001F" w:rsidP="00BA50D8">
            <w:pPr>
              <w:pStyle w:val="NoSpacing"/>
              <w:jc w:val="center"/>
              <w:rPr>
                <w:rFonts w:ascii="Times New Roman" w:hAnsi="Times New Roman"/>
                <w:sz w:val="18"/>
                <w:szCs w:val="18"/>
                <w:lang w:val="en-GB"/>
              </w:rPr>
            </w:pPr>
            <w:r>
              <w:rPr>
                <w:rFonts w:ascii="Times New Roman" w:hAnsi="Times New Roman"/>
                <w:sz w:val="18"/>
                <w:szCs w:val="18"/>
                <w:lang w:val="en-GB"/>
              </w:rPr>
              <w:t>0.75</w:t>
            </w:r>
          </w:p>
        </w:tc>
      </w:tr>
      <w:tr w:rsidR="00AB42EF" w:rsidRPr="00BA50D8" w14:paraId="66A9E438" w14:textId="77777777" w:rsidTr="00AB42EF">
        <w:tc>
          <w:tcPr>
            <w:tcW w:w="6629" w:type="dxa"/>
            <w:tcBorders>
              <w:right w:val="nil"/>
            </w:tcBorders>
            <w:noWrap/>
            <w:tcMar>
              <w:left w:w="0" w:type="dxa"/>
              <w:right w:w="0" w:type="dxa"/>
            </w:tcMar>
          </w:tcPr>
          <w:p w14:paraId="66A9E435"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My mind is sometimes dominated by thoughts of the bad things I’ve done.</w:t>
            </w:r>
          </w:p>
        </w:tc>
        <w:tc>
          <w:tcPr>
            <w:tcW w:w="737" w:type="dxa"/>
            <w:tcBorders>
              <w:top w:val="nil"/>
              <w:left w:val="nil"/>
              <w:bottom w:val="nil"/>
              <w:right w:val="nil"/>
            </w:tcBorders>
            <w:noWrap/>
          </w:tcPr>
          <w:p w14:paraId="66A9E436"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37" w14:textId="77777777" w:rsidR="00AB42EF" w:rsidRPr="00065B92" w:rsidRDefault="009B463B"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w:t>
            </w:r>
            <w:r w:rsidR="0003001F">
              <w:rPr>
                <w:rFonts w:ascii="Times New Roman" w:hAnsi="Times New Roman"/>
                <w:sz w:val="18"/>
                <w:szCs w:val="18"/>
                <w:lang w:val="en-GB"/>
              </w:rPr>
              <w:t>83</w:t>
            </w:r>
          </w:p>
        </w:tc>
      </w:tr>
      <w:tr w:rsidR="00AB42EF" w:rsidRPr="00BA50D8" w14:paraId="66A9E43C" w14:textId="77777777" w:rsidTr="00AB42EF">
        <w:tc>
          <w:tcPr>
            <w:tcW w:w="6629" w:type="dxa"/>
            <w:tcBorders>
              <w:right w:val="nil"/>
            </w:tcBorders>
            <w:noWrap/>
            <w:tcMar>
              <w:left w:w="0" w:type="dxa"/>
              <w:right w:w="0" w:type="dxa"/>
            </w:tcMar>
          </w:tcPr>
          <w:p w14:paraId="66A9E439"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often wake up with many thoughts running through my mind.</w:t>
            </w:r>
          </w:p>
        </w:tc>
        <w:tc>
          <w:tcPr>
            <w:tcW w:w="737" w:type="dxa"/>
            <w:tcBorders>
              <w:top w:val="nil"/>
              <w:left w:val="nil"/>
              <w:bottom w:val="nil"/>
              <w:right w:val="nil"/>
            </w:tcBorders>
            <w:noWrap/>
          </w:tcPr>
          <w:p w14:paraId="66A9E43A"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3B" w14:textId="77777777" w:rsidR="00AB42EF" w:rsidRPr="00065B92" w:rsidRDefault="00EA0664"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0.53</w:t>
            </w:r>
          </w:p>
        </w:tc>
      </w:tr>
      <w:tr w:rsidR="00AB42EF" w:rsidRPr="00BA50D8" w14:paraId="66A9E440" w14:textId="77777777" w:rsidTr="00AB42EF">
        <w:tc>
          <w:tcPr>
            <w:tcW w:w="6629" w:type="dxa"/>
            <w:tcBorders>
              <w:right w:val="nil"/>
            </w:tcBorders>
            <w:noWrap/>
            <w:tcMar>
              <w:left w:w="0" w:type="dxa"/>
              <w:right w:w="0" w:type="dxa"/>
            </w:tcMar>
          </w:tcPr>
          <w:p w14:paraId="66A9E43D"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I’m always weighing-up the risk of bad things happening in my life.</w:t>
            </w:r>
          </w:p>
        </w:tc>
        <w:tc>
          <w:tcPr>
            <w:tcW w:w="737" w:type="dxa"/>
            <w:tcBorders>
              <w:top w:val="nil"/>
              <w:left w:val="nil"/>
              <w:bottom w:val="nil"/>
              <w:right w:val="nil"/>
            </w:tcBorders>
            <w:noWrap/>
          </w:tcPr>
          <w:p w14:paraId="66A9E43E"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3F" w14:textId="77777777" w:rsidR="00AB42EF" w:rsidRPr="00065B92" w:rsidRDefault="00EA0664"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w:t>
            </w:r>
            <w:r w:rsidR="0003001F">
              <w:rPr>
                <w:rFonts w:ascii="Times New Roman" w:hAnsi="Times New Roman"/>
                <w:sz w:val="18"/>
                <w:szCs w:val="18"/>
                <w:lang w:val="en-GB"/>
              </w:rPr>
              <w:t>82</w:t>
            </w:r>
          </w:p>
        </w:tc>
      </w:tr>
      <w:tr w:rsidR="00AB42EF" w:rsidRPr="00BA50D8" w14:paraId="66A9E444" w14:textId="77777777" w:rsidTr="00AB42EF">
        <w:tc>
          <w:tcPr>
            <w:tcW w:w="6629" w:type="dxa"/>
            <w:tcBorders>
              <w:right w:val="nil"/>
            </w:tcBorders>
            <w:noWrap/>
            <w:tcMar>
              <w:left w:w="0" w:type="dxa"/>
              <w:right w:w="0" w:type="dxa"/>
            </w:tcMar>
          </w:tcPr>
          <w:p w14:paraId="66A9E441" w14:textId="77777777" w:rsidR="00AB42EF" w:rsidRPr="00BA50D8" w:rsidRDefault="00AB42EF" w:rsidP="00264070">
            <w:pPr>
              <w:pStyle w:val="NoSpacing"/>
              <w:rPr>
                <w:rFonts w:ascii="Times New Roman" w:hAnsi="Times New Roman"/>
                <w:b/>
                <w:sz w:val="18"/>
                <w:szCs w:val="18"/>
                <w:lang w:val="en-GB"/>
              </w:rPr>
            </w:pPr>
            <w:r w:rsidRPr="00BA50D8">
              <w:rPr>
                <w:rFonts w:ascii="Times New Roman" w:hAnsi="Times New Roman"/>
                <w:b/>
                <w:sz w:val="18"/>
                <w:szCs w:val="18"/>
                <w:lang w:val="en-GB"/>
              </w:rPr>
              <w:t>Behavioral Disengagement</w:t>
            </w:r>
          </w:p>
        </w:tc>
        <w:tc>
          <w:tcPr>
            <w:tcW w:w="737" w:type="dxa"/>
            <w:tcBorders>
              <w:top w:val="nil"/>
              <w:left w:val="nil"/>
              <w:bottom w:val="nil"/>
              <w:right w:val="nil"/>
            </w:tcBorders>
            <w:noWrap/>
          </w:tcPr>
          <w:p w14:paraId="66A9E442"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43" w14:textId="77777777" w:rsidR="00AB42EF" w:rsidRPr="002C28F8" w:rsidRDefault="00AB42EF" w:rsidP="00BA50D8">
            <w:pPr>
              <w:pStyle w:val="NoSpacing"/>
              <w:jc w:val="center"/>
              <w:rPr>
                <w:rFonts w:ascii="Times New Roman" w:hAnsi="Times New Roman"/>
                <w:sz w:val="18"/>
                <w:szCs w:val="18"/>
                <w:lang w:val="en-GB"/>
              </w:rPr>
            </w:pPr>
          </w:p>
        </w:tc>
      </w:tr>
      <w:tr w:rsidR="00AB42EF" w:rsidRPr="00BA50D8" w14:paraId="66A9E448" w14:textId="77777777" w:rsidTr="00AB42EF">
        <w:tc>
          <w:tcPr>
            <w:tcW w:w="6629" w:type="dxa"/>
            <w:tcBorders>
              <w:right w:val="nil"/>
            </w:tcBorders>
            <w:noWrap/>
            <w:tcMar>
              <w:left w:w="0" w:type="dxa"/>
              <w:right w:w="0" w:type="dxa"/>
            </w:tcMar>
          </w:tcPr>
          <w:p w14:paraId="66A9E445"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often find myself ‘going into my shell’.</w:t>
            </w:r>
          </w:p>
        </w:tc>
        <w:tc>
          <w:tcPr>
            <w:tcW w:w="737" w:type="dxa"/>
            <w:tcBorders>
              <w:top w:val="nil"/>
              <w:left w:val="nil"/>
              <w:bottom w:val="nil"/>
              <w:right w:val="nil"/>
            </w:tcBorders>
            <w:noWrap/>
          </w:tcPr>
          <w:p w14:paraId="66A9E446"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47" w14:textId="77777777" w:rsidR="00AB42EF" w:rsidRPr="00065B92" w:rsidRDefault="002A6497"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0.6</w:t>
            </w:r>
            <w:r w:rsidR="0003001F">
              <w:rPr>
                <w:rFonts w:ascii="Times New Roman" w:hAnsi="Times New Roman"/>
                <w:sz w:val="18"/>
                <w:szCs w:val="18"/>
                <w:lang w:val="en-GB"/>
              </w:rPr>
              <w:t>2</w:t>
            </w:r>
          </w:p>
        </w:tc>
      </w:tr>
      <w:tr w:rsidR="00AB42EF" w:rsidRPr="00BA50D8" w14:paraId="66A9E44C" w14:textId="77777777" w:rsidTr="00AB42EF">
        <w:tc>
          <w:tcPr>
            <w:tcW w:w="6629" w:type="dxa"/>
            <w:tcBorders>
              <w:right w:val="nil"/>
            </w:tcBorders>
            <w:noWrap/>
            <w:tcMar>
              <w:left w:w="0" w:type="dxa"/>
              <w:right w:w="0" w:type="dxa"/>
            </w:tcMar>
          </w:tcPr>
          <w:p w14:paraId="66A9E449"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feel sad when I suffer even minor setbacks.</w:t>
            </w:r>
          </w:p>
        </w:tc>
        <w:tc>
          <w:tcPr>
            <w:tcW w:w="737" w:type="dxa"/>
            <w:tcBorders>
              <w:top w:val="nil"/>
              <w:left w:val="nil"/>
              <w:bottom w:val="nil"/>
              <w:right w:val="nil"/>
            </w:tcBorders>
            <w:noWrap/>
          </w:tcPr>
          <w:p w14:paraId="66A9E44A"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4B" w14:textId="77777777" w:rsidR="00AB42EF" w:rsidRPr="00065B92" w:rsidRDefault="00EA0664"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0.6</w:t>
            </w:r>
            <w:r w:rsidR="0003001F">
              <w:rPr>
                <w:rFonts w:ascii="Times New Roman" w:hAnsi="Times New Roman"/>
                <w:sz w:val="18"/>
                <w:szCs w:val="18"/>
                <w:lang w:val="en-GB"/>
              </w:rPr>
              <w:t>8</w:t>
            </w:r>
          </w:p>
        </w:tc>
      </w:tr>
      <w:tr w:rsidR="00AB42EF" w:rsidRPr="00BA50D8" w14:paraId="66A9E450" w14:textId="77777777" w:rsidTr="00AB42EF">
        <w:trPr>
          <w:trHeight w:val="74"/>
        </w:trPr>
        <w:tc>
          <w:tcPr>
            <w:tcW w:w="6629" w:type="dxa"/>
            <w:tcBorders>
              <w:right w:val="nil"/>
            </w:tcBorders>
            <w:noWrap/>
            <w:tcMar>
              <w:left w:w="0" w:type="dxa"/>
              <w:right w:w="0" w:type="dxa"/>
            </w:tcMar>
          </w:tcPr>
          <w:p w14:paraId="66A9E44D"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often feel depressed.</w:t>
            </w:r>
          </w:p>
        </w:tc>
        <w:tc>
          <w:tcPr>
            <w:tcW w:w="737" w:type="dxa"/>
            <w:tcBorders>
              <w:top w:val="nil"/>
              <w:left w:val="nil"/>
              <w:bottom w:val="nil"/>
              <w:right w:val="nil"/>
            </w:tcBorders>
            <w:noWrap/>
          </w:tcPr>
          <w:p w14:paraId="66A9E44E"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4F" w14:textId="77777777" w:rsidR="00AB42EF" w:rsidRPr="00065B92" w:rsidRDefault="0003001F" w:rsidP="00BA50D8">
            <w:pPr>
              <w:pStyle w:val="NoSpacing"/>
              <w:jc w:val="center"/>
              <w:rPr>
                <w:rFonts w:ascii="Times New Roman" w:hAnsi="Times New Roman"/>
                <w:sz w:val="18"/>
                <w:szCs w:val="18"/>
                <w:lang w:val="en-GB"/>
              </w:rPr>
            </w:pPr>
            <w:r>
              <w:rPr>
                <w:rFonts w:ascii="Times New Roman" w:hAnsi="Times New Roman"/>
                <w:sz w:val="18"/>
                <w:szCs w:val="18"/>
                <w:lang w:val="en-GB"/>
              </w:rPr>
              <w:t>0.43</w:t>
            </w:r>
          </w:p>
        </w:tc>
      </w:tr>
      <w:tr w:rsidR="00AB42EF" w:rsidRPr="00BA50D8" w14:paraId="66A9E454" w14:textId="77777777" w:rsidTr="00AB42EF">
        <w:tc>
          <w:tcPr>
            <w:tcW w:w="6629" w:type="dxa"/>
            <w:tcBorders>
              <w:right w:val="nil"/>
            </w:tcBorders>
            <w:noWrap/>
            <w:tcMar>
              <w:left w:w="0" w:type="dxa"/>
              <w:right w:w="0" w:type="dxa"/>
            </w:tcMar>
          </w:tcPr>
          <w:p w14:paraId="66A9E451"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have often spent a lot of time on my own to “get away from it all”.</w:t>
            </w:r>
          </w:p>
        </w:tc>
        <w:tc>
          <w:tcPr>
            <w:tcW w:w="737" w:type="dxa"/>
            <w:tcBorders>
              <w:top w:val="nil"/>
              <w:left w:val="nil"/>
              <w:bottom w:val="nil"/>
              <w:right w:val="nil"/>
            </w:tcBorders>
            <w:noWrap/>
          </w:tcPr>
          <w:p w14:paraId="66A9E452"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53" w14:textId="77777777" w:rsidR="00AB42EF" w:rsidRPr="00065B92" w:rsidRDefault="00EA0664"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0.5</w:t>
            </w:r>
            <w:r w:rsidR="0003001F">
              <w:rPr>
                <w:rFonts w:ascii="Times New Roman" w:hAnsi="Times New Roman"/>
                <w:sz w:val="18"/>
                <w:szCs w:val="18"/>
                <w:lang w:val="en-GB"/>
              </w:rPr>
              <w:t>5</w:t>
            </w:r>
          </w:p>
        </w:tc>
      </w:tr>
      <w:tr w:rsidR="00AB42EF" w:rsidRPr="00BA50D8" w14:paraId="66A9E458" w14:textId="77777777" w:rsidTr="00AB42EF">
        <w:tc>
          <w:tcPr>
            <w:tcW w:w="6629" w:type="dxa"/>
            <w:tcBorders>
              <w:right w:val="nil"/>
            </w:tcBorders>
            <w:noWrap/>
            <w:tcMar>
              <w:left w:w="0" w:type="dxa"/>
              <w:right w:w="0" w:type="dxa"/>
            </w:tcMar>
          </w:tcPr>
          <w:p w14:paraId="66A9E455"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I sometime feel ‘blue’ for no good reason.</w:t>
            </w:r>
          </w:p>
        </w:tc>
        <w:tc>
          <w:tcPr>
            <w:tcW w:w="737" w:type="dxa"/>
            <w:tcBorders>
              <w:top w:val="nil"/>
              <w:left w:val="nil"/>
              <w:bottom w:val="nil"/>
              <w:right w:val="nil"/>
            </w:tcBorders>
            <w:noWrap/>
          </w:tcPr>
          <w:p w14:paraId="66A9E456"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57" w14:textId="77777777" w:rsidR="00AB42EF" w:rsidRPr="00065B92" w:rsidRDefault="00EA0664" w:rsidP="00BA50D8">
            <w:pPr>
              <w:pStyle w:val="NoSpacing"/>
              <w:jc w:val="center"/>
              <w:rPr>
                <w:rFonts w:ascii="Times New Roman" w:hAnsi="Times New Roman"/>
                <w:sz w:val="18"/>
                <w:szCs w:val="18"/>
                <w:lang w:val="en-GB"/>
              </w:rPr>
            </w:pPr>
            <w:r w:rsidRPr="00065B92">
              <w:rPr>
                <w:rFonts w:ascii="Times New Roman" w:hAnsi="Times New Roman"/>
                <w:sz w:val="18"/>
                <w:szCs w:val="18"/>
                <w:lang w:val="en-GB"/>
              </w:rPr>
              <w:t>0.7</w:t>
            </w:r>
            <w:r w:rsidR="0003001F">
              <w:rPr>
                <w:rFonts w:ascii="Times New Roman" w:hAnsi="Times New Roman"/>
                <w:sz w:val="18"/>
                <w:szCs w:val="18"/>
                <w:lang w:val="en-GB"/>
              </w:rPr>
              <w:t>6</w:t>
            </w:r>
          </w:p>
        </w:tc>
      </w:tr>
      <w:tr w:rsidR="00AB42EF" w:rsidRPr="00BA50D8" w14:paraId="66A9E45C" w14:textId="77777777" w:rsidTr="00AB42EF">
        <w:tc>
          <w:tcPr>
            <w:tcW w:w="6629" w:type="dxa"/>
            <w:tcBorders>
              <w:right w:val="nil"/>
            </w:tcBorders>
            <w:noWrap/>
            <w:tcMar>
              <w:left w:w="0" w:type="dxa"/>
              <w:right w:w="0" w:type="dxa"/>
            </w:tcMar>
          </w:tcPr>
          <w:p w14:paraId="66A9E459"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When feeling ‘down’, I tend to stay away from people.</w:t>
            </w:r>
          </w:p>
        </w:tc>
        <w:tc>
          <w:tcPr>
            <w:tcW w:w="737" w:type="dxa"/>
            <w:tcBorders>
              <w:top w:val="nil"/>
              <w:left w:val="nil"/>
              <w:bottom w:val="nil"/>
              <w:right w:val="nil"/>
            </w:tcBorders>
            <w:noWrap/>
          </w:tcPr>
          <w:p w14:paraId="66A9E45A" w14:textId="77777777" w:rsidR="00AB42EF" w:rsidRPr="00DF1961" w:rsidRDefault="00AB42EF" w:rsidP="00BA50D8">
            <w:pPr>
              <w:pStyle w:val="NoSpacing"/>
              <w:jc w:val="center"/>
              <w:rPr>
                <w:rFonts w:ascii="Times New Roman" w:hAnsi="Times New Roman"/>
                <w:sz w:val="18"/>
                <w:szCs w:val="18"/>
                <w:lang w:val="en-GB"/>
              </w:rPr>
            </w:pPr>
          </w:p>
        </w:tc>
        <w:tc>
          <w:tcPr>
            <w:tcW w:w="737" w:type="dxa"/>
            <w:tcBorders>
              <w:top w:val="nil"/>
              <w:left w:val="nil"/>
              <w:bottom w:val="nil"/>
              <w:right w:val="nil"/>
            </w:tcBorders>
            <w:noWrap/>
          </w:tcPr>
          <w:p w14:paraId="66A9E45B" w14:textId="77777777" w:rsidR="00AB42EF" w:rsidRPr="00065B92" w:rsidRDefault="0003001F" w:rsidP="00BA50D8">
            <w:pPr>
              <w:pStyle w:val="NoSpacing"/>
              <w:jc w:val="center"/>
              <w:rPr>
                <w:rFonts w:ascii="Times New Roman" w:hAnsi="Times New Roman"/>
                <w:sz w:val="18"/>
                <w:szCs w:val="18"/>
                <w:lang w:val="en-GB"/>
              </w:rPr>
            </w:pPr>
            <w:r>
              <w:rPr>
                <w:rFonts w:ascii="Times New Roman" w:hAnsi="Times New Roman"/>
                <w:sz w:val="18"/>
                <w:szCs w:val="18"/>
                <w:lang w:val="en-GB"/>
              </w:rPr>
              <w:t>0.72</w:t>
            </w:r>
          </w:p>
        </w:tc>
      </w:tr>
      <w:tr w:rsidR="00AB42EF" w:rsidRPr="00BA50D8" w14:paraId="66A9E460" w14:textId="77777777" w:rsidTr="00AB42EF">
        <w:tc>
          <w:tcPr>
            <w:tcW w:w="6629" w:type="dxa"/>
            <w:tcBorders>
              <w:bottom w:val="nil"/>
              <w:right w:val="nil"/>
            </w:tcBorders>
            <w:noWrap/>
            <w:tcMar>
              <w:left w:w="0" w:type="dxa"/>
              <w:right w:w="0" w:type="dxa"/>
            </w:tcMar>
          </w:tcPr>
          <w:p w14:paraId="66A9E45D"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1</w:t>
            </w:r>
          </w:p>
        </w:tc>
        <w:tc>
          <w:tcPr>
            <w:tcW w:w="737" w:type="dxa"/>
            <w:tcBorders>
              <w:top w:val="nil"/>
              <w:left w:val="nil"/>
              <w:bottom w:val="nil"/>
              <w:right w:val="nil"/>
            </w:tcBorders>
            <w:noWrap/>
            <w:tcMar>
              <w:left w:w="0" w:type="dxa"/>
              <w:right w:w="0" w:type="dxa"/>
            </w:tcMar>
          </w:tcPr>
          <w:p w14:paraId="66A9E45E" w14:textId="77777777" w:rsidR="00AB42EF" w:rsidRPr="00BA50D8" w:rsidRDefault="00AB42EF" w:rsidP="00BA50D8">
            <w:pPr>
              <w:pStyle w:val="NoSpacing"/>
              <w:jc w:val="center"/>
              <w:rPr>
                <w:rFonts w:ascii="Times New Roman" w:hAnsi="Times New Roman"/>
                <w:sz w:val="18"/>
                <w:szCs w:val="18"/>
                <w:lang w:val="en-GB"/>
              </w:rPr>
            </w:pPr>
            <w:r w:rsidRPr="00BA50D8">
              <w:rPr>
                <w:rFonts w:ascii="Times New Roman" w:hAnsi="Times New Roman"/>
                <w:sz w:val="18"/>
                <w:szCs w:val="18"/>
                <w:lang w:val="en-GB"/>
              </w:rPr>
              <w:t>-</w:t>
            </w:r>
          </w:p>
        </w:tc>
        <w:tc>
          <w:tcPr>
            <w:tcW w:w="737" w:type="dxa"/>
            <w:tcBorders>
              <w:top w:val="nil"/>
              <w:left w:val="nil"/>
              <w:bottom w:val="nil"/>
              <w:right w:val="nil"/>
            </w:tcBorders>
            <w:noWrap/>
          </w:tcPr>
          <w:p w14:paraId="66A9E45F" w14:textId="77777777" w:rsidR="00AB42EF" w:rsidRPr="00BA50D8" w:rsidRDefault="00AB42EF" w:rsidP="00BA50D8">
            <w:pPr>
              <w:pStyle w:val="NoSpacing"/>
              <w:jc w:val="center"/>
              <w:rPr>
                <w:rFonts w:ascii="Times New Roman" w:hAnsi="Times New Roman"/>
                <w:sz w:val="18"/>
                <w:szCs w:val="18"/>
                <w:lang w:val="en-GB"/>
              </w:rPr>
            </w:pPr>
          </w:p>
        </w:tc>
      </w:tr>
      <w:tr w:rsidR="00AB42EF" w:rsidRPr="00BA50D8" w14:paraId="66A9E464" w14:textId="77777777" w:rsidTr="00AB42EF">
        <w:tc>
          <w:tcPr>
            <w:tcW w:w="6629" w:type="dxa"/>
            <w:tcBorders>
              <w:top w:val="nil"/>
              <w:bottom w:val="single" w:sz="4" w:space="0" w:color="auto"/>
              <w:right w:val="nil"/>
            </w:tcBorders>
            <w:noWrap/>
            <w:tcMar>
              <w:left w:w="0" w:type="dxa"/>
              <w:right w:w="0" w:type="dxa"/>
            </w:tcMar>
          </w:tcPr>
          <w:p w14:paraId="66A9E461" w14:textId="77777777" w:rsidR="00AB42EF" w:rsidRPr="00BA50D8" w:rsidRDefault="00AB42EF" w:rsidP="00264070">
            <w:pPr>
              <w:pStyle w:val="NoSpacing"/>
              <w:rPr>
                <w:rFonts w:ascii="Times New Roman" w:hAnsi="Times New Roman"/>
                <w:sz w:val="18"/>
                <w:szCs w:val="18"/>
                <w:lang w:val="en-GB"/>
              </w:rPr>
            </w:pPr>
            <w:r w:rsidRPr="00BA50D8">
              <w:rPr>
                <w:rFonts w:ascii="Times New Roman" w:hAnsi="Times New Roman"/>
                <w:sz w:val="18"/>
                <w:szCs w:val="18"/>
                <w:lang w:val="en-GB"/>
              </w:rPr>
              <w:t>2</w:t>
            </w:r>
          </w:p>
        </w:tc>
        <w:tc>
          <w:tcPr>
            <w:tcW w:w="737" w:type="dxa"/>
            <w:tcBorders>
              <w:top w:val="nil"/>
              <w:left w:val="nil"/>
              <w:bottom w:val="single" w:sz="4" w:space="0" w:color="auto"/>
              <w:right w:val="nil"/>
            </w:tcBorders>
            <w:noWrap/>
            <w:tcMar>
              <w:left w:w="0" w:type="dxa"/>
              <w:right w:w="0" w:type="dxa"/>
            </w:tcMar>
          </w:tcPr>
          <w:p w14:paraId="66A9E462" w14:textId="77777777" w:rsidR="00AB42EF" w:rsidRPr="00BA50D8" w:rsidRDefault="00AB42EF" w:rsidP="00BA50D8">
            <w:pPr>
              <w:pStyle w:val="NoSpacing"/>
              <w:jc w:val="center"/>
              <w:rPr>
                <w:rFonts w:ascii="Times New Roman" w:hAnsi="Times New Roman"/>
                <w:sz w:val="18"/>
                <w:szCs w:val="18"/>
                <w:lang w:val="en-GB"/>
              </w:rPr>
            </w:pPr>
            <w:r w:rsidRPr="00BA50D8">
              <w:rPr>
                <w:rFonts w:ascii="Times New Roman" w:hAnsi="Times New Roman"/>
                <w:sz w:val="18"/>
                <w:szCs w:val="18"/>
                <w:lang w:val="en-GB"/>
              </w:rPr>
              <w:t>0.5</w:t>
            </w:r>
            <w:r w:rsidR="00B721DB">
              <w:rPr>
                <w:rFonts w:ascii="Times New Roman" w:hAnsi="Times New Roman"/>
                <w:sz w:val="18"/>
                <w:szCs w:val="18"/>
                <w:lang w:val="en-GB"/>
              </w:rPr>
              <w:t>4</w:t>
            </w:r>
          </w:p>
        </w:tc>
        <w:tc>
          <w:tcPr>
            <w:tcW w:w="737" w:type="dxa"/>
            <w:tcBorders>
              <w:top w:val="nil"/>
              <w:left w:val="nil"/>
              <w:bottom w:val="single" w:sz="4" w:space="0" w:color="auto"/>
              <w:right w:val="nil"/>
            </w:tcBorders>
            <w:noWrap/>
          </w:tcPr>
          <w:p w14:paraId="66A9E463" w14:textId="77777777" w:rsidR="00AB42EF" w:rsidRPr="00BA50D8" w:rsidRDefault="00AB42EF" w:rsidP="00BA50D8">
            <w:pPr>
              <w:pStyle w:val="NoSpacing"/>
              <w:jc w:val="center"/>
              <w:rPr>
                <w:rFonts w:ascii="Times New Roman" w:hAnsi="Times New Roman"/>
                <w:sz w:val="18"/>
                <w:szCs w:val="18"/>
                <w:lang w:val="en-GB"/>
              </w:rPr>
            </w:pPr>
            <w:r w:rsidRPr="00BA50D8">
              <w:rPr>
                <w:rFonts w:ascii="Times New Roman" w:hAnsi="Times New Roman"/>
                <w:sz w:val="18"/>
                <w:szCs w:val="18"/>
                <w:lang w:val="en-GB"/>
              </w:rPr>
              <w:t>-</w:t>
            </w:r>
          </w:p>
        </w:tc>
      </w:tr>
    </w:tbl>
    <w:p w14:paraId="66A9E465" w14:textId="77777777" w:rsidR="00BA50D8" w:rsidRDefault="00BA50D8" w:rsidP="00A0761E">
      <w:pPr>
        <w:pStyle w:val="NoSpacing"/>
        <w:spacing w:line="480" w:lineRule="auto"/>
        <w:rPr>
          <w:rFonts w:ascii="Times New Roman" w:hAnsi="Times New Roman"/>
          <w:i/>
          <w:sz w:val="20"/>
          <w:szCs w:val="20"/>
          <w:lang w:val="en-GB"/>
        </w:rPr>
      </w:pPr>
    </w:p>
    <w:p w14:paraId="66A9E466" w14:textId="243B099B" w:rsidR="00B15621" w:rsidRDefault="00C80DE1" w:rsidP="00A0761E">
      <w:pPr>
        <w:pStyle w:val="NoSpacing"/>
        <w:spacing w:line="480" w:lineRule="auto"/>
        <w:rPr>
          <w:rFonts w:ascii="Times New Roman" w:hAnsi="Times New Roman"/>
          <w:sz w:val="20"/>
          <w:szCs w:val="20"/>
          <w:lang w:val="en-GB"/>
        </w:rPr>
      </w:pPr>
      <w:r w:rsidRPr="00262711">
        <w:rPr>
          <w:rFonts w:ascii="Times New Roman" w:hAnsi="Times New Roman"/>
          <w:i/>
          <w:sz w:val="20"/>
          <w:szCs w:val="20"/>
          <w:lang w:val="en-GB"/>
        </w:rPr>
        <w:t>Note</w:t>
      </w:r>
      <w:r w:rsidRPr="00262711">
        <w:rPr>
          <w:rFonts w:ascii="Times New Roman" w:hAnsi="Times New Roman"/>
          <w:sz w:val="20"/>
          <w:szCs w:val="20"/>
          <w:lang w:val="en-GB"/>
        </w:rPr>
        <w:t xml:space="preserve">. Factor correlation significant at </w:t>
      </w:r>
      <w:r w:rsidRPr="00262711">
        <w:rPr>
          <w:rFonts w:ascii="Times New Roman" w:hAnsi="Times New Roman"/>
          <w:i/>
          <w:sz w:val="20"/>
          <w:szCs w:val="20"/>
          <w:lang w:val="en-GB"/>
        </w:rPr>
        <w:t xml:space="preserve">p </w:t>
      </w:r>
      <w:r w:rsidR="0018362D" w:rsidRPr="00262711">
        <w:rPr>
          <w:rFonts w:ascii="Times New Roman" w:hAnsi="Times New Roman"/>
          <w:sz w:val="20"/>
          <w:szCs w:val="20"/>
          <w:lang w:val="en-GB"/>
        </w:rPr>
        <w:t>&lt; .00</w:t>
      </w:r>
      <w:r w:rsidR="00713BB8" w:rsidRPr="00262711">
        <w:rPr>
          <w:rFonts w:ascii="Times New Roman" w:hAnsi="Times New Roman"/>
          <w:sz w:val="20"/>
          <w:szCs w:val="20"/>
          <w:lang w:val="en-GB"/>
        </w:rPr>
        <w:t>1.</w:t>
      </w:r>
      <w:r w:rsidR="00B15621">
        <w:rPr>
          <w:rFonts w:ascii="Times New Roman" w:hAnsi="Times New Roman"/>
          <w:sz w:val="20"/>
          <w:szCs w:val="20"/>
          <w:lang w:val="en-GB"/>
        </w:rPr>
        <w:t xml:space="preserve"> </w:t>
      </w:r>
    </w:p>
    <w:p w14:paraId="66A9E467" w14:textId="77777777" w:rsidR="00C80DE1" w:rsidRPr="00262711" w:rsidRDefault="00B15621" w:rsidP="00A0761E">
      <w:pPr>
        <w:pStyle w:val="NoSpacing"/>
        <w:spacing w:line="480" w:lineRule="auto"/>
        <w:rPr>
          <w:rFonts w:ascii="Times New Roman" w:hAnsi="Times New Roman"/>
          <w:sz w:val="20"/>
          <w:szCs w:val="20"/>
          <w:lang w:val="en-GB"/>
        </w:rPr>
      </w:pPr>
      <w:r w:rsidRPr="00262711">
        <w:rPr>
          <w:sz w:val="20"/>
          <w:szCs w:val="20"/>
          <w:lang w:val="en-GB"/>
        </w:rPr>
        <w:t xml:space="preserve">FFFS = Flight-Fight-Freeze System; </w:t>
      </w:r>
      <w:r>
        <w:rPr>
          <w:sz w:val="20"/>
          <w:szCs w:val="20"/>
          <w:lang w:val="en-GB"/>
        </w:rPr>
        <w:t>BIS = Behavioural Inhibition System</w:t>
      </w:r>
    </w:p>
    <w:p w14:paraId="66A9E468" w14:textId="77777777" w:rsidR="00C80DE1" w:rsidRPr="00262711" w:rsidRDefault="00C80DE1" w:rsidP="00083813">
      <w:pPr>
        <w:rPr>
          <w:lang w:val="en-GB"/>
        </w:rPr>
      </w:pPr>
      <w:r w:rsidRPr="00262711">
        <w:rPr>
          <w:lang w:val="en-GB"/>
        </w:rPr>
        <w:br w:type="page"/>
      </w:r>
      <w:r w:rsidRPr="00262711">
        <w:rPr>
          <w:lang w:val="en-GB"/>
        </w:rPr>
        <w:lastRenderedPageBreak/>
        <w:t xml:space="preserve">Table </w:t>
      </w:r>
      <w:r w:rsidR="00D5209B" w:rsidRPr="00262711">
        <w:rPr>
          <w:lang w:val="en-GB"/>
        </w:rPr>
        <w:t>3</w:t>
      </w:r>
      <w:r w:rsidRPr="00262711">
        <w:rPr>
          <w:lang w:val="en-GB"/>
        </w:rPr>
        <w:t xml:space="preserve"> </w:t>
      </w:r>
    </w:p>
    <w:p w14:paraId="66A9E469" w14:textId="77777777" w:rsidR="00BA50D8" w:rsidRPr="008B2783" w:rsidRDefault="00C80DE1" w:rsidP="008B2783">
      <w:pPr>
        <w:rPr>
          <w:i/>
          <w:lang w:val="en-GB"/>
        </w:rPr>
      </w:pPr>
      <w:r w:rsidRPr="00262711">
        <w:rPr>
          <w:i/>
          <w:lang w:val="en-GB"/>
        </w:rPr>
        <w:t>Descriptive Statistics an</w:t>
      </w:r>
      <w:r w:rsidR="00AB42EF" w:rsidRPr="00262711">
        <w:rPr>
          <w:i/>
          <w:lang w:val="en-GB"/>
        </w:rPr>
        <w:t>d Scale Correlations</w:t>
      </w:r>
      <w:r w:rsidR="00A0761E" w:rsidRPr="00262711">
        <w:rPr>
          <w:i/>
          <w:lang w:val="en-GB"/>
        </w:rPr>
        <w:t xml:space="preserve"> of the RST-PQ scales</w:t>
      </w:r>
      <w:r w:rsidR="00AB42EF" w:rsidRPr="00262711">
        <w:rPr>
          <w:i/>
          <w:lang w:val="en-GB"/>
        </w:rPr>
        <w:t>.</w:t>
      </w:r>
    </w:p>
    <w:p w14:paraId="66A9E46A" w14:textId="77777777" w:rsidR="00B15621" w:rsidRDefault="00B15621" w:rsidP="00B15621">
      <w:pPr>
        <w:spacing w:line="480" w:lineRule="auto"/>
        <w:ind w:left="-181"/>
        <w:rPr>
          <w:sz w:val="20"/>
          <w:szCs w:val="20"/>
          <w:lang w:val="en-GB"/>
        </w:rPr>
      </w:pPr>
      <w:r w:rsidRPr="00262711">
        <w:rPr>
          <w:i/>
          <w:sz w:val="20"/>
          <w:szCs w:val="20"/>
          <w:lang w:val="en-GB"/>
        </w:rPr>
        <w:t xml:space="preserve">Note. </w:t>
      </w:r>
      <w:r w:rsidRPr="00262711">
        <w:rPr>
          <w:sz w:val="20"/>
          <w:szCs w:val="20"/>
          <w:lang w:val="en-GB"/>
        </w:rPr>
        <w:t xml:space="preserve">FFFS = Flight-Fight-Freeze System; </w:t>
      </w:r>
      <w:r>
        <w:rPr>
          <w:sz w:val="20"/>
          <w:szCs w:val="20"/>
          <w:lang w:val="en-GB"/>
        </w:rPr>
        <w:t xml:space="preserve">BIS = Behavioural Inhibition System; </w:t>
      </w:r>
    </w:p>
    <w:p w14:paraId="66A9E46B" w14:textId="77777777" w:rsidR="00B15621" w:rsidRPr="00262711" w:rsidRDefault="00B15621" w:rsidP="00B15621">
      <w:pPr>
        <w:spacing w:line="480" w:lineRule="auto"/>
        <w:ind w:left="-181"/>
        <w:rPr>
          <w:sz w:val="20"/>
          <w:szCs w:val="20"/>
          <w:lang w:val="en-GB"/>
        </w:rPr>
      </w:pPr>
      <w:r w:rsidRPr="00262711">
        <w:rPr>
          <w:sz w:val="20"/>
          <w:szCs w:val="20"/>
          <w:lang w:val="en-GB"/>
        </w:rPr>
        <w:t>BAS = Behavio</w:t>
      </w:r>
      <w:r>
        <w:rPr>
          <w:sz w:val="20"/>
          <w:szCs w:val="20"/>
          <w:lang w:val="en-GB"/>
        </w:rPr>
        <w:t>u</w:t>
      </w:r>
      <w:r w:rsidRPr="00262711">
        <w:rPr>
          <w:sz w:val="20"/>
          <w:szCs w:val="20"/>
          <w:lang w:val="en-GB"/>
        </w:rPr>
        <w:t xml:space="preserve">ral Approach </w:t>
      </w:r>
    </w:p>
    <w:p w14:paraId="66A9E46C" w14:textId="77777777" w:rsidR="00B15621" w:rsidRDefault="00B15621" w:rsidP="00083813">
      <w:pPr>
        <w:rPr>
          <w:iCs/>
          <w:lang w:val="en-GB"/>
        </w:rPr>
      </w:pPr>
    </w:p>
    <w:p w14:paraId="66A9E46D" w14:textId="77777777" w:rsidR="00B15621" w:rsidRDefault="00B15621" w:rsidP="00083813">
      <w:pPr>
        <w:rPr>
          <w:iCs/>
          <w:lang w:val="en-GB"/>
        </w:rPr>
      </w:pPr>
    </w:p>
    <w:p w14:paraId="66A9E46E" w14:textId="77777777" w:rsidR="00B15621" w:rsidRDefault="00B15621" w:rsidP="00083813">
      <w:pPr>
        <w:rPr>
          <w:iCs/>
          <w:lang w:val="en-GB"/>
        </w:rPr>
      </w:pPr>
    </w:p>
    <w:p w14:paraId="66A9E46F" w14:textId="77777777" w:rsidR="00B15621" w:rsidRPr="00262711" w:rsidRDefault="00B15621" w:rsidP="00083813">
      <w:pPr>
        <w:rPr>
          <w:iCs/>
          <w:lang w:val="en-GB"/>
        </w:rPr>
      </w:pPr>
    </w:p>
    <w:p w14:paraId="66A9E470" w14:textId="77777777" w:rsidR="00C80DE1" w:rsidRPr="00262711" w:rsidRDefault="00C80DE1" w:rsidP="00083813">
      <w:pPr>
        <w:rPr>
          <w:lang w:val="en-GB"/>
        </w:rPr>
      </w:pPr>
    </w:p>
    <w:tbl>
      <w:tblPr>
        <w:tblpPr w:leftFromText="180" w:rightFromText="180" w:horzAnchor="margin" w:tblpY="715"/>
        <w:tblW w:w="5305" w:type="pct"/>
        <w:tblLayout w:type="fixed"/>
        <w:tblLook w:val="00A0" w:firstRow="1" w:lastRow="0" w:firstColumn="1" w:lastColumn="0" w:noHBand="0" w:noVBand="0"/>
      </w:tblPr>
      <w:tblGrid>
        <w:gridCol w:w="3841"/>
        <w:gridCol w:w="964"/>
        <w:gridCol w:w="964"/>
        <w:gridCol w:w="964"/>
        <w:gridCol w:w="964"/>
        <w:gridCol w:w="964"/>
        <w:gridCol w:w="962"/>
      </w:tblGrid>
      <w:tr w:rsidR="00AE5CB4" w:rsidRPr="00BA50D8" w14:paraId="66A9E478" w14:textId="77777777" w:rsidTr="00065B92">
        <w:tc>
          <w:tcPr>
            <w:tcW w:w="1995" w:type="pct"/>
            <w:tcBorders>
              <w:bottom w:val="single" w:sz="4" w:space="0" w:color="auto"/>
            </w:tcBorders>
            <w:noWrap/>
          </w:tcPr>
          <w:p w14:paraId="66A9E471" w14:textId="77777777" w:rsidR="00C80DE1" w:rsidRPr="00BA50D8" w:rsidRDefault="00C80DE1" w:rsidP="009D65C3">
            <w:pPr>
              <w:rPr>
                <w:lang w:val="en-GB"/>
              </w:rPr>
            </w:pPr>
          </w:p>
        </w:tc>
        <w:tc>
          <w:tcPr>
            <w:tcW w:w="501" w:type="pct"/>
            <w:tcBorders>
              <w:bottom w:val="single" w:sz="4" w:space="0" w:color="auto"/>
            </w:tcBorders>
          </w:tcPr>
          <w:p w14:paraId="66A9E472" w14:textId="77777777" w:rsidR="00C80DE1" w:rsidRPr="00BA50D8" w:rsidRDefault="00C80DE1" w:rsidP="00F66687">
            <w:pPr>
              <w:jc w:val="right"/>
              <w:rPr>
                <w:lang w:val="en-GB"/>
              </w:rPr>
            </w:pPr>
            <w:r w:rsidRPr="00BA50D8">
              <w:rPr>
                <w:sz w:val="22"/>
                <w:szCs w:val="22"/>
                <w:lang w:val="en-GB"/>
              </w:rPr>
              <w:t>1</w:t>
            </w:r>
          </w:p>
        </w:tc>
        <w:tc>
          <w:tcPr>
            <w:tcW w:w="501" w:type="pct"/>
            <w:tcBorders>
              <w:bottom w:val="single" w:sz="4" w:space="0" w:color="auto"/>
            </w:tcBorders>
            <w:noWrap/>
          </w:tcPr>
          <w:p w14:paraId="66A9E473" w14:textId="77777777" w:rsidR="00C80DE1" w:rsidRPr="00BA50D8" w:rsidRDefault="00C80DE1" w:rsidP="00F66687">
            <w:pPr>
              <w:jc w:val="right"/>
              <w:rPr>
                <w:lang w:val="en-GB"/>
              </w:rPr>
            </w:pPr>
            <w:r w:rsidRPr="00BA50D8">
              <w:rPr>
                <w:sz w:val="22"/>
                <w:szCs w:val="22"/>
                <w:lang w:val="en-GB"/>
              </w:rPr>
              <w:t>2</w:t>
            </w:r>
          </w:p>
        </w:tc>
        <w:tc>
          <w:tcPr>
            <w:tcW w:w="501" w:type="pct"/>
            <w:tcBorders>
              <w:bottom w:val="single" w:sz="4" w:space="0" w:color="auto"/>
            </w:tcBorders>
            <w:noWrap/>
          </w:tcPr>
          <w:p w14:paraId="66A9E474" w14:textId="77777777" w:rsidR="00C80DE1" w:rsidRPr="00BA50D8" w:rsidRDefault="00C80DE1" w:rsidP="00F66687">
            <w:pPr>
              <w:jc w:val="right"/>
              <w:rPr>
                <w:lang w:val="en-GB"/>
              </w:rPr>
            </w:pPr>
            <w:r w:rsidRPr="00BA50D8">
              <w:rPr>
                <w:sz w:val="22"/>
                <w:szCs w:val="22"/>
                <w:lang w:val="en-GB"/>
              </w:rPr>
              <w:t>3a</w:t>
            </w:r>
          </w:p>
        </w:tc>
        <w:tc>
          <w:tcPr>
            <w:tcW w:w="501" w:type="pct"/>
            <w:tcBorders>
              <w:bottom w:val="single" w:sz="4" w:space="0" w:color="auto"/>
            </w:tcBorders>
            <w:noWrap/>
          </w:tcPr>
          <w:p w14:paraId="66A9E475" w14:textId="77777777" w:rsidR="00C80DE1" w:rsidRPr="00BA50D8" w:rsidRDefault="00C80DE1" w:rsidP="00F66687">
            <w:pPr>
              <w:jc w:val="right"/>
              <w:rPr>
                <w:lang w:val="en-GB"/>
              </w:rPr>
            </w:pPr>
            <w:r w:rsidRPr="00BA50D8">
              <w:rPr>
                <w:sz w:val="22"/>
                <w:szCs w:val="22"/>
                <w:lang w:val="en-GB"/>
              </w:rPr>
              <w:t>3b</w:t>
            </w:r>
          </w:p>
        </w:tc>
        <w:tc>
          <w:tcPr>
            <w:tcW w:w="501" w:type="pct"/>
            <w:tcBorders>
              <w:bottom w:val="single" w:sz="4" w:space="0" w:color="auto"/>
            </w:tcBorders>
            <w:noWrap/>
          </w:tcPr>
          <w:p w14:paraId="66A9E476" w14:textId="77777777" w:rsidR="00C80DE1" w:rsidRPr="00BA50D8" w:rsidRDefault="00C80DE1" w:rsidP="00F66687">
            <w:pPr>
              <w:jc w:val="right"/>
              <w:rPr>
                <w:lang w:val="en-GB"/>
              </w:rPr>
            </w:pPr>
            <w:r w:rsidRPr="00BA50D8">
              <w:rPr>
                <w:sz w:val="22"/>
                <w:szCs w:val="22"/>
                <w:lang w:val="en-GB"/>
              </w:rPr>
              <w:t>3c</w:t>
            </w:r>
          </w:p>
        </w:tc>
        <w:tc>
          <w:tcPr>
            <w:tcW w:w="501" w:type="pct"/>
            <w:tcBorders>
              <w:bottom w:val="single" w:sz="4" w:space="0" w:color="auto"/>
            </w:tcBorders>
            <w:noWrap/>
          </w:tcPr>
          <w:p w14:paraId="66A9E477" w14:textId="77777777" w:rsidR="00C80DE1" w:rsidRPr="00BA50D8" w:rsidRDefault="00C80DE1" w:rsidP="00F66687">
            <w:pPr>
              <w:jc w:val="right"/>
              <w:rPr>
                <w:lang w:val="en-GB"/>
              </w:rPr>
            </w:pPr>
            <w:r w:rsidRPr="00BA50D8">
              <w:rPr>
                <w:sz w:val="22"/>
                <w:szCs w:val="22"/>
                <w:lang w:val="en-GB"/>
              </w:rPr>
              <w:t>3d</w:t>
            </w:r>
          </w:p>
        </w:tc>
      </w:tr>
      <w:tr w:rsidR="00AE5CB4" w:rsidRPr="00BA50D8" w14:paraId="66A9E480" w14:textId="77777777" w:rsidTr="00065B92">
        <w:tc>
          <w:tcPr>
            <w:tcW w:w="1995" w:type="pct"/>
            <w:tcBorders>
              <w:top w:val="single" w:sz="4" w:space="0" w:color="auto"/>
            </w:tcBorders>
            <w:noWrap/>
          </w:tcPr>
          <w:p w14:paraId="66A9E479" w14:textId="77777777" w:rsidR="00C80DE1" w:rsidRPr="00BA50D8" w:rsidRDefault="00C80DE1" w:rsidP="009D65C3">
            <w:pPr>
              <w:ind w:hanging="107"/>
              <w:rPr>
                <w:lang w:val="en-GB"/>
              </w:rPr>
            </w:pPr>
            <w:r w:rsidRPr="00BA50D8">
              <w:rPr>
                <w:sz w:val="22"/>
                <w:szCs w:val="22"/>
                <w:lang w:val="en-GB"/>
              </w:rPr>
              <w:t>1. FFFS:</w:t>
            </w:r>
          </w:p>
        </w:tc>
        <w:tc>
          <w:tcPr>
            <w:tcW w:w="501" w:type="pct"/>
            <w:tcBorders>
              <w:top w:val="single" w:sz="4" w:space="0" w:color="auto"/>
            </w:tcBorders>
          </w:tcPr>
          <w:p w14:paraId="66A9E47A" w14:textId="77777777" w:rsidR="00C80DE1" w:rsidRPr="00BA50D8" w:rsidRDefault="00C80DE1" w:rsidP="00F66687">
            <w:pPr>
              <w:jc w:val="right"/>
              <w:rPr>
                <w:lang w:val="en-GB"/>
              </w:rPr>
            </w:pPr>
          </w:p>
        </w:tc>
        <w:tc>
          <w:tcPr>
            <w:tcW w:w="501" w:type="pct"/>
            <w:tcBorders>
              <w:top w:val="single" w:sz="4" w:space="0" w:color="auto"/>
            </w:tcBorders>
            <w:noWrap/>
          </w:tcPr>
          <w:p w14:paraId="66A9E47B" w14:textId="77777777" w:rsidR="00C80DE1" w:rsidRPr="00BA50D8" w:rsidRDefault="00EA0664" w:rsidP="00F66687">
            <w:pPr>
              <w:jc w:val="right"/>
              <w:rPr>
                <w:lang w:val="en-GB"/>
              </w:rPr>
            </w:pPr>
            <w:r w:rsidRPr="00BA50D8">
              <w:rPr>
                <w:sz w:val="22"/>
                <w:szCs w:val="22"/>
                <w:lang w:val="en-GB"/>
              </w:rPr>
              <w:t>.4</w:t>
            </w:r>
            <w:r w:rsidR="00E92E69" w:rsidRPr="00BA50D8">
              <w:rPr>
                <w:sz w:val="22"/>
                <w:szCs w:val="22"/>
                <w:lang w:val="en-GB"/>
              </w:rPr>
              <w:t>6</w:t>
            </w:r>
          </w:p>
        </w:tc>
        <w:tc>
          <w:tcPr>
            <w:tcW w:w="501" w:type="pct"/>
            <w:tcBorders>
              <w:top w:val="single" w:sz="4" w:space="0" w:color="auto"/>
            </w:tcBorders>
            <w:noWrap/>
          </w:tcPr>
          <w:p w14:paraId="66A9E47C" w14:textId="77777777" w:rsidR="00C80DE1" w:rsidRPr="00BA50D8" w:rsidRDefault="00EA0664" w:rsidP="00F66687">
            <w:pPr>
              <w:jc w:val="right"/>
              <w:rPr>
                <w:lang w:val="en-GB"/>
              </w:rPr>
            </w:pPr>
            <w:r w:rsidRPr="00BA50D8">
              <w:rPr>
                <w:sz w:val="22"/>
                <w:szCs w:val="22"/>
                <w:lang w:val="en-GB"/>
              </w:rPr>
              <w:t>-.12</w:t>
            </w:r>
          </w:p>
        </w:tc>
        <w:tc>
          <w:tcPr>
            <w:tcW w:w="501" w:type="pct"/>
            <w:tcBorders>
              <w:top w:val="single" w:sz="4" w:space="0" w:color="auto"/>
            </w:tcBorders>
            <w:noWrap/>
          </w:tcPr>
          <w:p w14:paraId="66A9E47D" w14:textId="77777777" w:rsidR="00C80DE1" w:rsidRPr="00BA50D8" w:rsidRDefault="00EA0664" w:rsidP="00F66687">
            <w:pPr>
              <w:jc w:val="right"/>
              <w:rPr>
                <w:lang w:val="en-GB"/>
              </w:rPr>
            </w:pPr>
            <w:r w:rsidRPr="00BA50D8">
              <w:rPr>
                <w:sz w:val="22"/>
                <w:szCs w:val="22"/>
                <w:lang w:val="en-GB"/>
              </w:rPr>
              <w:t>.02</w:t>
            </w:r>
          </w:p>
        </w:tc>
        <w:tc>
          <w:tcPr>
            <w:tcW w:w="501" w:type="pct"/>
            <w:tcBorders>
              <w:top w:val="single" w:sz="4" w:space="0" w:color="auto"/>
            </w:tcBorders>
            <w:noWrap/>
          </w:tcPr>
          <w:p w14:paraId="66A9E47E" w14:textId="77777777" w:rsidR="00C80DE1" w:rsidRPr="00BA50D8" w:rsidRDefault="00EA0664" w:rsidP="00F66687">
            <w:pPr>
              <w:jc w:val="right"/>
              <w:rPr>
                <w:lang w:val="en-GB"/>
              </w:rPr>
            </w:pPr>
            <w:r w:rsidRPr="00BA50D8">
              <w:rPr>
                <w:sz w:val="22"/>
                <w:szCs w:val="22"/>
                <w:lang w:val="en-GB"/>
              </w:rPr>
              <w:t>.26</w:t>
            </w:r>
          </w:p>
        </w:tc>
        <w:tc>
          <w:tcPr>
            <w:tcW w:w="501" w:type="pct"/>
            <w:tcBorders>
              <w:top w:val="single" w:sz="4" w:space="0" w:color="auto"/>
            </w:tcBorders>
            <w:noWrap/>
          </w:tcPr>
          <w:p w14:paraId="66A9E47F" w14:textId="77777777" w:rsidR="00C80DE1" w:rsidRPr="00BA50D8" w:rsidRDefault="00C80DE1" w:rsidP="00F66687">
            <w:pPr>
              <w:jc w:val="right"/>
              <w:rPr>
                <w:lang w:val="en-GB"/>
              </w:rPr>
            </w:pPr>
            <w:r w:rsidRPr="00BA50D8">
              <w:rPr>
                <w:sz w:val="22"/>
                <w:szCs w:val="22"/>
                <w:lang w:val="en-GB"/>
              </w:rPr>
              <w:t>.16</w:t>
            </w:r>
          </w:p>
        </w:tc>
      </w:tr>
      <w:tr w:rsidR="00AE5CB4" w:rsidRPr="00BA50D8" w14:paraId="66A9E489" w14:textId="77777777" w:rsidTr="00065B92">
        <w:tc>
          <w:tcPr>
            <w:tcW w:w="1995" w:type="pct"/>
            <w:noWrap/>
          </w:tcPr>
          <w:p w14:paraId="66A9E481" w14:textId="77777777" w:rsidR="00C80DE1" w:rsidRPr="00BA50D8" w:rsidRDefault="00C80DE1" w:rsidP="009D65C3">
            <w:pPr>
              <w:ind w:left="-107"/>
              <w:rPr>
                <w:lang w:val="en-GB"/>
              </w:rPr>
            </w:pPr>
            <w:r w:rsidRPr="00BA50D8">
              <w:rPr>
                <w:sz w:val="22"/>
                <w:szCs w:val="22"/>
                <w:lang w:val="en-GB"/>
              </w:rPr>
              <w:t xml:space="preserve">2. BIS:  </w:t>
            </w:r>
          </w:p>
          <w:p w14:paraId="66A9E482" w14:textId="77777777" w:rsidR="00C80DE1" w:rsidRPr="00BA50D8" w:rsidRDefault="00C80DE1" w:rsidP="009D65C3">
            <w:pPr>
              <w:ind w:left="-107"/>
              <w:rPr>
                <w:lang w:val="en-GB"/>
              </w:rPr>
            </w:pPr>
            <w:r w:rsidRPr="00BA50D8">
              <w:rPr>
                <w:sz w:val="22"/>
                <w:szCs w:val="22"/>
                <w:lang w:val="en-GB"/>
              </w:rPr>
              <w:t xml:space="preserve">3. BAS </w:t>
            </w:r>
          </w:p>
        </w:tc>
        <w:tc>
          <w:tcPr>
            <w:tcW w:w="501" w:type="pct"/>
          </w:tcPr>
          <w:p w14:paraId="66A9E483" w14:textId="77777777" w:rsidR="00C80DE1" w:rsidRPr="00BA50D8" w:rsidRDefault="00C80DE1" w:rsidP="00F66687">
            <w:pPr>
              <w:jc w:val="right"/>
              <w:rPr>
                <w:lang w:val="en-GB"/>
              </w:rPr>
            </w:pPr>
          </w:p>
        </w:tc>
        <w:tc>
          <w:tcPr>
            <w:tcW w:w="501" w:type="pct"/>
            <w:noWrap/>
          </w:tcPr>
          <w:p w14:paraId="66A9E484" w14:textId="77777777" w:rsidR="00C80DE1" w:rsidRPr="00BA50D8" w:rsidRDefault="00C80DE1" w:rsidP="00F66687">
            <w:pPr>
              <w:jc w:val="right"/>
              <w:rPr>
                <w:lang w:val="en-GB"/>
              </w:rPr>
            </w:pPr>
            <w:r w:rsidRPr="00BA50D8">
              <w:rPr>
                <w:sz w:val="22"/>
                <w:szCs w:val="22"/>
                <w:lang w:val="en-GB"/>
              </w:rPr>
              <w:t>-</w:t>
            </w:r>
          </w:p>
        </w:tc>
        <w:tc>
          <w:tcPr>
            <w:tcW w:w="501" w:type="pct"/>
            <w:noWrap/>
          </w:tcPr>
          <w:p w14:paraId="66A9E485" w14:textId="77777777" w:rsidR="00C80DE1" w:rsidRPr="00BA50D8" w:rsidRDefault="00EA0664" w:rsidP="00F66687">
            <w:pPr>
              <w:jc w:val="right"/>
              <w:rPr>
                <w:lang w:val="en-GB"/>
              </w:rPr>
            </w:pPr>
            <w:r w:rsidRPr="00BA50D8">
              <w:rPr>
                <w:sz w:val="22"/>
                <w:szCs w:val="22"/>
                <w:lang w:val="en-GB"/>
              </w:rPr>
              <w:t>-.21</w:t>
            </w:r>
          </w:p>
        </w:tc>
        <w:tc>
          <w:tcPr>
            <w:tcW w:w="501" w:type="pct"/>
            <w:noWrap/>
          </w:tcPr>
          <w:p w14:paraId="66A9E486" w14:textId="77777777" w:rsidR="00C80DE1" w:rsidRPr="00BA50D8" w:rsidRDefault="00EA0664" w:rsidP="00F66687">
            <w:pPr>
              <w:jc w:val="right"/>
              <w:rPr>
                <w:lang w:val="en-GB"/>
              </w:rPr>
            </w:pPr>
            <w:r w:rsidRPr="00BA50D8">
              <w:rPr>
                <w:sz w:val="22"/>
                <w:szCs w:val="22"/>
                <w:lang w:val="en-GB"/>
              </w:rPr>
              <w:t>-.13</w:t>
            </w:r>
          </w:p>
        </w:tc>
        <w:tc>
          <w:tcPr>
            <w:tcW w:w="501" w:type="pct"/>
            <w:noWrap/>
          </w:tcPr>
          <w:p w14:paraId="66A9E487" w14:textId="77777777" w:rsidR="00C80DE1" w:rsidRPr="00BA50D8" w:rsidRDefault="00EA0664" w:rsidP="00F66687">
            <w:pPr>
              <w:jc w:val="right"/>
              <w:rPr>
                <w:lang w:val="en-GB"/>
              </w:rPr>
            </w:pPr>
            <w:r w:rsidRPr="00BA50D8">
              <w:rPr>
                <w:sz w:val="22"/>
                <w:szCs w:val="22"/>
                <w:lang w:val="en-GB"/>
              </w:rPr>
              <w:t>.11</w:t>
            </w:r>
          </w:p>
        </w:tc>
        <w:tc>
          <w:tcPr>
            <w:tcW w:w="501" w:type="pct"/>
            <w:noWrap/>
          </w:tcPr>
          <w:p w14:paraId="66A9E488" w14:textId="77777777" w:rsidR="00C80DE1" w:rsidRPr="00BA50D8" w:rsidRDefault="00EA0664" w:rsidP="00F66687">
            <w:pPr>
              <w:jc w:val="right"/>
              <w:rPr>
                <w:lang w:val="en-GB"/>
              </w:rPr>
            </w:pPr>
            <w:r w:rsidRPr="00BA50D8">
              <w:rPr>
                <w:sz w:val="22"/>
                <w:szCs w:val="22"/>
                <w:lang w:val="en-GB"/>
              </w:rPr>
              <w:t>.14</w:t>
            </w:r>
          </w:p>
        </w:tc>
      </w:tr>
      <w:tr w:rsidR="00AE5CB4" w:rsidRPr="00BA50D8" w14:paraId="66A9E491" w14:textId="77777777" w:rsidTr="00065B92">
        <w:tc>
          <w:tcPr>
            <w:tcW w:w="1995" w:type="pct"/>
            <w:noWrap/>
          </w:tcPr>
          <w:p w14:paraId="66A9E48A" w14:textId="77777777" w:rsidR="00C80DE1" w:rsidRPr="00BA50D8" w:rsidRDefault="00C80DE1" w:rsidP="009D65C3">
            <w:pPr>
              <w:ind w:firstLine="426"/>
              <w:rPr>
                <w:lang w:val="en-GB"/>
              </w:rPr>
            </w:pPr>
            <w:r w:rsidRPr="00BA50D8">
              <w:rPr>
                <w:sz w:val="22"/>
                <w:szCs w:val="22"/>
                <w:lang w:val="en-GB"/>
              </w:rPr>
              <w:t>3a. Reward Interest</w:t>
            </w:r>
          </w:p>
        </w:tc>
        <w:tc>
          <w:tcPr>
            <w:tcW w:w="501" w:type="pct"/>
          </w:tcPr>
          <w:p w14:paraId="66A9E48B" w14:textId="77777777" w:rsidR="00C80DE1" w:rsidRPr="00BA50D8" w:rsidRDefault="00C80DE1" w:rsidP="00F66687">
            <w:pPr>
              <w:jc w:val="right"/>
              <w:rPr>
                <w:lang w:val="en-GB"/>
              </w:rPr>
            </w:pPr>
          </w:p>
        </w:tc>
        <w:tc>
          <w:tcPr>
            <w:tcW w:w="501" w:type="pct"/>
            <w:noWrap/>
          </w:tcPr>
          <w:p w14:paraId="66A9E48C" w14:textId="77777777" w:rsidR="00C80DE1" w:rsidRPr="00BA50D8" w:rsidRDefault="00C80DE1" w:rsidP="00F66687">
            <w:pPr>
              <w:jc w:val="right"/>
              <w:rPr>
                <w:lang w:val="en-GB"/>
              </w:rPr>
            </w:pPr>
          </w:p>
        </w:tc>
        <w:tc>
          <w:tcPr>
            <w:tcW w:w="501" w:type="pct"/>
            <w:noWrap/>
          </w:tcPr>
          <w:p w14:paraId="66A9E48D" w14:textId="77777777" w:rsidR="00C80DE1" w:rsidRPr="00BA50D8" w:rsidRDefault="00C80DE1" w:rsidP="00F66687">
            <w:pPr>
              <w:jc w:val="right"/>
              <w:rPr>
                <w:lang w:val="en-GB"/>
              </w:rPr>
            </w:pPr>
            <w:r w:rsidRPr="00BA50D8">
              <w:rPr>
                <w:sz w:val="22"/>
                <w:szCs w:val="22"/>
                <w:lang w:val="en-GB"/>
              </w:rPr>
              <w:t>-</w:t>
            </w:r>
          </w:p>
        </w:tc>
        <w:tc>
          <w:tcPr>
            <w:tcW w:w="501" w:type="pct"/>
            <w:noWrap/>
          </w:tcPr>
          <w:p w14:paraId="66A9E48E" w14:textId="77777777" w:rsidR="00C80DE1" w:rsidRPr="00BA50D8" w:rsidRDefault="00EA0664" w:rsidP="00F66687">
            <w:pPr>
              <w:jc w:val="right"/>
              <w:rPr>
                <w:lang w:val="en-GB"/>
              </w:rPr>
            </w:pPr>
            <w:r w:rsidRPr="00BA50D8">
              <w:rPr>
                <w:sz w:val="22"/>
                <w:szCs w:val="22"/>
                <w:lang w:val="en-GB"/>
              </w:rPr>
              <w:t>.43</w:t>
            </w:r>
          </w:p>
        </w:tc>
        <w:tc>
          <w:tcPr>
            <w:tcW w:w="501" w:type="pct"/>
            <w:noWrap/>
          </w:tcPr>
          <w:p w14:paraId="66A9E48F" w14:textId="77777777" w:rsidR="00C80DE1" w:rsidRPr="00BA50D8" w:rsidRDefault="00EA0664" w:rsidP="00F66687">
            <w:pPr>
              <w:jc w:val="right"/>
              <w:rPr>
                <w:lang w:val="en-GB"/>
              </w:rPr>
            </w:pPr>
            <w:r w:rsidRPr="00BA50D8">
              <w:rPr>
                <w:sz w:val="22"/>
                <w:szCs w:val="22"/>
                <w:lang w:val="en-GB"/>
              </w:rPr>
              <w:t>.45</w:t>
            </w:r>
          </w:p>
        </w:tc>
        <w:tc>
          <w:tcPr>
            <w:tcW w:w="501" w:type="pct"/>
            <w:noWrap/>
          </w:tcPr>
          <w:p w14:paraId="66A9E490" w14:textId="77777777" w:rsidR="00C80DE1" w:rsidRPr="00BA50D8" w:rsidRDefault="00EA0664" w:rsidP="00F66687">
            <w:pPr>
              <w:jc w:val="right"/>
              <w:rPr>
                <w:lang w:val="en-GB"/>
              </w:rPr>
            </w:pPr>
            <w:r w:rsidRPr="00BA50D8">
              <w:rPr>
                <w:sz w:val="22"/>
                <w:szCs w:val="22"/>
                <w:lang w:val="en-GB"/>
              </w:rPr>
              <w:t>.40</w:t>
            </w:r>
          </w:p>
        </w:tc>
      </w:tr>
      <w:tr w:rsidR="00AE5CB4" w:rsidRPr="00BA50D8" w14:paraId="66A9E499" w14:textId="77777777" w:rsidTr="00065B92">
        <w:tc>
          <w:tcPr>
            <w:tcW w:w="1995" w:type="pct"/>
            <w:noWrap/>
          </w:tcPr>
          <w:p w14:paraId="66A9E492" w14:textId="77777777" w:rsidR="00C80DE1" w:rsidRPr="00BA50D8" w:rsidRDefault="00C80DE1" w:rsidP="009D65C3">
            <w:pPr>
              <w:ind w:firstLine="426"/>
              <w:rPr>
                <w:lang w:val="en-GB"/>
              </w:rPr>
            </w:pPr>
            <w:r w:rsidRPr="00BA50D8">
              <w:rPr>
                <w:sz w:val="22"/>
                <w:szCs w:val="22"/>
                <w:lang w:val="en-GB"/>
              </w:rPr>
              <w:t>3b. Goal-Drive Persistence</w:t>
            </w:r>
          </w:p>
        </w:tc>
        <w:tc>
          <w:tcPr>
            <w:tcW w:w="501" w:type="pct"/>
          </w:tcPr>
          <w:p w14:paraId="66A9E493" w14:textId="77777777" w:rsidR="00C80DE1" w:rsidRPr="00BA50D8" w:rsidRDefault="00C80DE1" w:rsidP="00F66687">
            <w:pPr>
              <w:jc w:val="right"/>
              <w:rPr>
                <w:lang w:val="en-GB"/>
              </w:rPr>
            </w:pPr>
          </w:p>
        </w:tc>
        <w:tc>
          <w:tcPr>
            <w:tcW w:w="501" w:type="pct"/>
            <w:noWrap/>
          </w:tcPr>
          <w:p w14:paraId="66A9E494" w14:textId="77777777" w:rsidR="00C80DE1" w:rsidRPr="00BA50D8" w:rsidRDefault="00C80DE1" w:rsidP="00F66687">
            <w:pPr>
              <w:jc w:val="right"/>
              <w:rPr>
                <w:lang w:val="en-GB"/>
              </w:rPr>
            </w:pPr>
          </w:p>
        </w:tc>
        <w:tc>
          <w:tcPr>
            <w:tcW w:w="501" w:type="pct"/>
            <w:noWrap/>
          </w:tcPr>
          <w:p w14:paraId="66A9E495" w14:textId="77777777" w:rsidR="00C80DE1" w:rsidRPr="00BA50D8" w:rsidRDefault="00C80DE1" w:rsidP="00F66687">
            <w:pPr>
              <w:jc w:val="right"/>
              <w:rPr>
                <w:lang w:val="en-GB"/>
              </w:rPr>
            </w:pPr>
          </w:p>
        </w:tc>
        <w:tc>
          <w:tcPr>
            <w:tcW w:w="501" w:type="pct"/>
            <w:noWrap/>
          </w:tcPr>
          <w:p w14:paraId="66A9E496" w14:textId="77777777" w:rsidR="00C80DE1" w:rsidRPr="00BA50D8" w:rsidRDefault="00C80DE1" w:rsidP="00F66687">
            <w:pPr>
              <w:jc w:val="right"/>
              <w:rPr>
                <w:lang w:val="en-GB"/>
              </w:rPr>
            </w:pPr>
            <w:r w:rsidRPr="00BA50D8">
              <w:rPr>
                <w:sz w:val="22"/>
                <w:szCs w:val="22"/>
                <w:lang w:val="en-GB"/>
              </w:rPr>
              <w:t>-</w:t>
            </w:r>
          </w:p>
        </w:tc>
        <w:tc>
          <w:tcPr>
            <w:tcW w:w="501" w:type="pct"/>
            <w:noWrap/>
          </w:tcPr>
          <w:p w14:paraId="66A9E497" w14:textId="77777777" w:rsidR="00C80DE1" w:rsidRPr="00BA50D8" w:rsidRDefault="00EA0664" w:rsidP="00F66687">
            <w:pPr>
              <w:jc w:val="right"/>
              <w:rPr>
                <w:lang w:val="en-GB"/>
              </w:rPr>
            </w:pPr>
            <w:r w:rsidRPr="00BA50D8">
              <w:rPr>
                <w:sz w:val="22"/>
                <w:szCs w:val="22"/>
                <w:lang w:val="en-GB"/>
              </w:rPr>
              <w:t>.35</w:t>
            </w:r>
          </w:p>
        </w:tc>
        <w:tc>
          <w:tcPr>
            <w:tcW w:w="501" w:type="pct"/>
            <w:noWrap/>
          </w:tcPr>
          <w:p w14:paraId="66A9E498" w14:textId="77777777" w:rsidR="00C80DE1" w:rsidRPr="00BA50D8" w:rsidRDefault="00EA0664" w:rsidP="00F66687">
            <w:pPr>
              <w:jc w:val="right"/>
              <w:rPr>
                <w:lang w:val="en-GB"/>
              </w:rPr>
            </w:pPr>
            <w:r w:rsidRPr="00BA50D8">
              <w:rPr>
                <w:sz w:val="22"/>
                <w:szCs w:val="22"/>
                <w:lang w:val="en-GB"/>
              </w:rPr>
              <w:t>.05</w:t>
            </w:r>
          </w:p>
        </w:tc>
      </w:tr>
      <w:tr w:rsidR="00AE5CB4" w:rsidRPr="00BA50D8" w14:paraId="66A9E4A1" w14:textId="77777777" w:rsidTr="00065B92">
        <w:tc>
          <w:tcPr>
            <w:tcW w:w="1995" w:type="pct"/>
            <w:noWrap/>
          </w:tcPr>
          <w:p w14:paraId="66A9E49A" w14:textId="77777777" w:rsidR="00C80DE1" w:rsidRPr="00BA50D8" w:rsidRDefault="00C80DE1" w:rsidP="009D65C3">
            <w:pPr>
              <w:ind w:firstLine="426"/>
              <w:rPr>
                <w:lang w:val="en-GB"/>
              </w:rPr>
            </w:pPr>
            <w:r w:rsidRPr="00BA50D8">
              <w:rPr>
                <w:sz w:val="22"/>
                <w:szCs w:val="22"/>
                <w:lang w:val="en-GB"/>
              </w:rPr>
              <w:t>3c. Reward Reactivity</w:t>
            </w:r>
          </w:p>
        </w:tc>
        <w:tc>
          <w:tcPr>
            <w:tcW w:w="501" w:type="pct"/>
          </w:tcPr>
          <w:p w14:paraId="66A9E49B" w14:textId="77777777" w:rsidR="00C80DE1" w:rsidRPr="00BA50D8" w:rsidRDefault="00C80DE1" w:rsidP="00F66687">
            <w:pPr>
              <w:jc w:val="right"/>
              <w:rPr>
                <w:lang w:val="en-GB"/>
              </w:rPr>
            </w:pPr>
          </w:p>
        </w:tc>
        <w:tc>
          <w:tcPr>
            <w:tcW w:w="501" w:type="pct"/>
            <w:noWrap/>
          </w:tcPr>
          <w:p w14:paraId="66A9E49C" w14:textId="77777777" w:rsidR="00C80DE1" w:rsidRPr="00BA50D8" w:rsidRDefault="00C80DE1" w:rsidP="00F66687">
            <w:pPr>
              <w:jc w:val="right"/>
              <w:rPr>
                <w:lang w:val="en-GB"/>
              </w:rPr>
            </w:pPr>
          </w:p>
        </w:tc>
        <w:tc>
          <w:tcPr>
            <w:tcW w:w="501" w:type="pct"/>
            <w:noWrap/>
          </w:tcPr>
          <w:p w14:paraId="66A9E49D" w14:textId="77777777" w:rsidR="00C80DE1" w:rsidRPr="00BA50D8" w:rsidRDefault="00C80DE1" w:rsidP="00F66687">
            <w:pPr>
              <w:jc w:val="right"/>
              <w:rPr>
                <w:lang w:val="en-GB"/>
              </w:rPr>
            </w:pPr>
          </w:p>
        </w:tc>
        <w:tc>
          <w:tcPr>
            <w:tcW w:w="501" w:type="pct"/>
            <w:noWrap/>
          </w:tcPr>
          <w:p w14:paraId="66A9E49E" w14:textId="77777777" w:rsidR="00C80DE1" w:rsidRPr="00BA50D8" w:rsidRDefault="00C80DE1" w:rsidP="00F66687">
            <w:pPr>
              <w:jc w:val="right"/>
              <w:rPr>
                <w:lang w:val="en-GB"/>
              </w:rPr>
            </w:pPr>
          </w:p>
        </w:tc>
        <w:tc>
          <w:tcPr>
            <w:tcW w:w="501" w:type="pct"/>
            <w:noWrap/>
          </w:tcPr>
          <w:p w14:paraId="66A9E49F" w14:textId="77777777" w:rsidR="00C80DE1" w:rsidRPr="00BA50D8" w:rsidRDefault="00C80DE1" w:rsidP="00F66687">
            <w:pPr>
              <w:jc w:val="right"/>
              <w:rPr>
                <w:lang w:val="en-GB"/>
              </w:rPr>
            </w:pPr>
            <w:r w:rsidRPr="00BA50D8">
              <w:rPr>
                <w:sz w:val="22"/>
                <w:szCs w:val="22"/>
                <w:lang w:val="en-GB"/>
              </w:rPr>
              <w:t>-</w:t>
            </w:r>
          </w:p>
        </w:tc>
        <w:tc>
          <w:tcPr>
            <w:tcW w:w="501" w:type="pct"/>
            <w:noWrap/>
          </w:tcPr>
          <w:p w14:paraId="66A9E4A0" w14:textId="77777777" w:rsidR="00C80DE1" w:rsidRPr="00BA50D8" w:rsidRDefault="00EA0664" w:rsidP="00F66687">
            <w:pPr>
              <w:jc w:val="right"/>
              <w:rPr>
                <w:lang w:val="en-GB"/>
              </w:rPr>
            </w:pPr>
            <w:r w:rsidRPr="00BA50D8">
              <w:rPr>
                <w:sz w:val="22"/>
                <w:szCs w:val="22"/>
                <w:lang w:val="en-GB"/>
              </w:rPr>
              <w:t>.45</w:t>
            </w:r>
          </w:p>
        </w:tc>
      </w:tr>
      <w:tr w:rsidR="00AE5CB4" w:rsidRPr="00BA50D8" w14:paraId="66A9E4A9" w14:textId="77777777" w:rsidTr="00065B92">
        <w:tc>
          <w:tcPr>
            <w:tcW w:w="1995" w:type="pct"/>
            <w:noWrap/>
          </w:tcPr>
          <w:p w14:paraId="66A9E4A2" w14:textId="77777777" w:rsidR="00C80DE1" w:rsidRPr="00BA50D8" w:rsidRDefault="00C80DE1" w:rsidP="009D65C3">
            <w:pPr>
              <w:ind w:firstLine="426"/>
              <w:rPr>
                <w:lang w:val="en-GB"/>
              </w:rPr>
            </w:pPr>
            <w:r w:rsidRPr="00BA50D8">
              <w:rPr>
                <w:sz w:val="22"/>
                <w:szCs w:val="22"/>
                <w:lang w:val="en-GB"/>
              </w:rPr>
              <w:t>3d. Impulsivity</w:t>
            </w:r>
          </w:p>
        </w:tc>
        <w:tc>
          <w:tcPr>
            <w:tcW w:w="501" w:type="pct"/>
          </w:tcPr>
          <w:p w14:paraId="66A9E4A3" w14:textId="77777777" w:rsidR="00C80DE1" w:rsidRPr="00BA50D8" w:rsidRDefault="00C80DE1" w:rsidP="00F66687">
            <w:pPr>
              <w:jc w:val="right"/>
              <w:rPr>
                <w:lang w:val="en-GB"/>
              </w:rPr>
            </w:pPr>
          </w:p>
        </w:tc>
        <w:tc>
          <w:tcPr>
            <w:tcW w:w="501" w:type="pct"/>
            <w:noWrap/>
          </w:tcPr>
          <w:p w14:paraId="66A9E4A4" w14:textId="77777777" w:rsidR="00C80DE1" w:rsidRPr="00BA50D8" w:rsidRDefault="00C80DE1" w:rsidP="00F66687">
            <w:pPr>
              <w:jc w:val="right"/>
              <w:rPr>
                <w:lang w:val="en-GB"/>
              </w:rPr>
            </w:pPr>
          </w:p>
        </w:tc>
        <w:tc>
          <w:tcPr>
            <w:tcW w:w="501" w:type="pct"/>
            <w:noWrap/>
          </w:tcPr>
          <w:p w14:paraId="66A9E4A5" w14:textId="77777777" w:rsidR="00C80DE1" w:rsidRPr="00BA50D8" w:rsidRDefault="00C80DE1" w:rsidP="00F66687">
            <w:pPr>
              <w:jc w:val="right"/>
              <w:rPr>
                <w:lang w:val="en-GB"/>
              </w:rPr>
            </w:pPr>
          </w:p>
        </w:tc>
        <w:tc>
          <w:tcPr>
            <w:tcW w:w="501" w:type="pct"/>
            <w:noWrap/>
          </w:tcPr>
          <w:p w14:paraId="66A9E4A6" w14:textId="77777777" w:rsidR="00C80DE1" w:rsidRPr="00BA50D8" w:rsidRDefault="00C80DE1" w:rsidP="00F66687">
            <w:pPr>
              <w:jc w:val="right"/>
              <w:rPr>
                <w:lang w:val="en-GB"/>
              </w:rPr>
            </w:pPr>
          </w:p>
        </w:tc>
        <w:tc>
          <w:tcPr>
            <w:tcW w:w="501" w:type="pct"/>
            <w:noWrap/>
          </w:tcPr>
          <w:p w14:paraId="66A9E4A7" w14:textId="77777777" w:rsidR="00C80DE1" w:rsidRPr="00BA50D8" w:rsidRDefault="00C80DE1" w:rsidP="00F66687">
            <w:pPr>
              <w:jc w:val="right"/>
              <w:rPr>
                <w:lang w:val="en-GB"/>
              </w:rPr>
            </w:pPr>
          </w:p>
        </w:tc>
        <w:tc>
          <w:tcPr>
            <w:tcW w:w="501" w:type="pct"/>
            <w:noWrap/>
          </w:tcPr>
          <w:p w14:paraId="66A9E4A8" w14:textId="77777777" w:rsidR="00C80DE1" w:rsidRPr="00BA50D8" w:rsidRDefault="00C80DE1" w:rsidP="00F66687">
            <w:pPr>
              <w:jc w:val="right"/>
              <w:rPr>
                <w:lang w:val="en-GB"/>
              </w:rPr>
            </w:pPr>
            <w:r w:rsidRPr="00BA50D8">
              <w:rPr>
                <w:sz w:val="22"/>
                <w:szCs w:val="22"/>
                <w:lang w:val="en-GB"/>
              </w:rPr>
              <w:t>-</w:t>
            </w:r>
          </w:p>
        </w:tc>
      </w:tr>
      <w:tr w:rsidR="00AE5CB4" w:rsidRPr="00BA50D8" w14:paraId="66A9E4B1" w14:textId="77777777" w:rsidTr="00065B92">
        <w:tc>
          <w:tcPr>
            <w:tcW w:w="1995" w:type="pct"/>
            <w:noWrap/>
          </w:tcPr>
          <w:p w14:paraId="66A9E4AA" w14:textId="77777777" w:rsidR="00C80DE1" w:rsidRPr="00BA50D8" w:rsidRDefault="00C80DE1" w:rsidP="009D65C3">
            <w:pPr>
              <w:ind w:firstLine="851"/>
              <w:rPr>
                <w:lang w:val="en-GB"/>
              </w:rPr>
            </w:pPr>
            <w:r w:rsidRPr="00BA50D8">
              <w:rPr>
                <w:sz w:val="22"/>
                <w:szCs w:val="22"/>
                <w:lang w:val="en-GB"/>
              </w:rPr>
              <w:t>Mean</w:t>
            </w:r>
          </w:p>
        </w:tc>
        <w:tc>
          <w:tcPr>
            <w:tcW w:w="501" w:type="pct"/>
          </w:tcPr>
          <w:p w14:paraId="66A9E4AB" w14:textId="77777777" w:rsidR="00C80DE1" w:rsidRPr="00BA50D8" w:rsidRDefault="00486A8E" w:rsidP="00F66687">
            <w:pPr>
              <w:jc w:val="right"/>
              <w:rPr>
                <w:lang w:val="en-GB"/>
              </w:rPr>
            </w:pPr>
            <w:r w:rsidRPr="00BA50D8">
              <w:rPr>
                <w:sz w:val="22"/>
                <w:szCs w:val="22"/>
                <w:lang w:val="en-GB"/>
              </w:rPr>
              <w:t>19.44</w:t>
            </w:r>
          </w:p>
        </w:tc>
        <w:tc>
          <w:tcPr>
            <w:tcW w:w="501" w:type="pct"/>
            <w:noWrap/>
          </w:tcPr>
          <w:p w14:paraId="66A9E4AC" w14:textId="77777777" w:rsidR="00C80DE1" w:rsidRPr="00BA50D8" w:rsidRDefault="00486A8E" w:rsidP="00F66687">
            <w:pPr>
              <w:jc w:val="right"/>
              <w:rPr>
                <w:lang w:val="en-GB"/>
              </w:rPr>
            </w:pPr>
            <w:r w:rsidRPr="00BA50D8">
              <w:rPr>
                <w:sz w:val="22"/>
                <w:szCs w:val="22"/>
                <w:lang w:val="en-GB"/>
              </w:rPr>
              <w:t>45.05</w:t>
            </w:r>
          </w:p>
        </w:tc>
        <w:tc>
          <w:tcPr>
            <w:tcW w:w="501" w:type="pct"/>
            <w:noWrap/>
          </w:tcPr>
          <w:p w14:paraId="66A9E4AD" w14:textId="77777777" w:rsidR="00C80DE1" w:rsidRPr="00BA50D8" w:rsidRDefault="00486A8E" w:rsidP="00F66687">
            <w:pPr>
              <w:jc w:val="right"/>
              <w:rPr>
                <w:lang w:val="en-GB"/>
              </w:rPr>
            </w:pPr>
            <w:r w:rsidRPr="00BA50D8">
              <w:rPr>
                <w:sz w:val="22"/>
                <w:szCs w:val="22"/>
                <w:lang w:val="en-GB"/>
              </w:rPr>
              <w:t>20.24</w:t>
            </w:r>
          </w:p>
        </w:tc>
        <w:tc>
          <w:tcPr>
            <w:tcW w:w="501" w:type="pct"/>
            <w:noWrap/>
          </w:tcPr>
          <w:p w14:paraId="66A9E4AE" w14:textId="77777777" w:rsidR="00C80DE1" w:rsidRPr="00BA50D8" w:rsidRDefault="00486A8E" w:rsidP="00F66687">
            <w:pPr>
              <w:jc w:val="right"/>
              <w:rPr>
                <w:lang w:val="en-GB"/>
              </w:rPr>
            </w:pPr>
            <w:r w:rsidRPr="00BA50D8">
              <w:rPr>
                <w:sz w:val="22"/>
                <w:szCs w:val="22"/>
                <w:lang w:val="en-GB"/>
              </w:rPr>
              <w:t>21.42</w:t>
            </w:r>
          </w:p>
        </w:tc>
        <w:tc>
          <w:tcPr>
            <w:tcW w:w="501" w:type="pct"/>
            <w:noWrap/>
          </w:tcPr>
          <w:p w14:paraId="66A9E4AF" w14:textId="77777777" w:rsidR="00C80DE1" w:rsidRPr="00BA50D8" w:rsidRDefault="00486A8E" w:rsidP="00F66687">
            <w:pPr>
              <w:jc w:val="right"/>
              <w:rPr>
                <w:lang w:val="en-GB"/>
              </w:rPr>
            </w:pPr>
            <w:r w:rsidRPr="00BA50D8">
              <w:rPr>
                <w:sz w:val="22"/>
                <w:szCs w:val="22"/>
                <w:lang w:val="en-GB"/>
              </w:rPr>
              <w:t>27.76</w:t>
            </w:r>
          </w:p>
        </w:tc>
        <w:tc>
          <w:tcPr>
            <w:tcW w:w="501" w:type="pct"/>
            <w:noWrap/>
          </w:tcPr>
          <w:p w14:paraId="66A9E4B0" w14:textId="77777777" w:rsidR="00C80DE1" w:rsidRPr="00BA50D8" w:rsidRDefault="00486A8E" w:rsidP="00F66687">
            <w:pPr>
              <w:jc w:val="right"/>
              <w:rPr>
                <w:lang w:val="en-GB"/>
              </w:rPr>
            </w:pPr>
            <w:r w:rsidRPr="00BA50D8">
              <w:rPr>
                <w:sz w:val="22"/>
                <w:szCs w:val="22"/>
                <w:lang w:val="en-GB"/>
              </w:rPr>
              <w:t>18.33</w:t>
            </w:r>
          </w:p>
        </w:tc>
      </w:tr>
      <w:tr w:rsidR="00AE5CB4" w:rsidRPr="00BA50D8" w14:paraId="66A9E4B9" w14:textId="77777777" w:rsidTr="00065B92">
        <w:tc>
          <w:tcPr>
            <w:tcW w:w="1995" w:type="pct"/>
            <w:noWrap/>
          </w:tcPr>
          <w:p w14:paraId="66A9E4B2" w14:textId="77777777" w:rsidR="00C80DE1" w:rsidRPr="00BA50D8" w:rsidRDefault="00C80DE1" w:rsidP="009D65C3">
            <w:pPr>
              <w:ind w:firstLine="851"/>
              <w:rPr>
                <w:lang w:val="en-GB"/>
              </w:rPr>
            </w:pPr>
            <w:r w:rsidRPr="00BA50D8">
              <w:rPr>
                <w:sz w:val="22"/>
                <w:szCs w:val="22"/>
                <w:lang w:val="en-GB"/>
              </w:rPr>
              <w:t>SD</w:t>
            </w:r>
          </w:p>
        </w:tc>
        <w:tc>
          <w:tcPr>
            <w:tcW w:w="501" w:type="pct"/>
          </w:tcPr>
          <w:p w14:paraId="66A9E4B3" w14:textId="77777777" w:rsidR="00C80DE1" w:rsidRPr="00BA50D8" w:rsidRDefault="00486A8E" w:rsidP="00F66687">
            <w:pPr>
              <w:jc w:val="right"/>
              <w:rPr>
                <w:lang w:val="en-GB"/>
              </w:rPr>
            </w:pPr>
            <w:r w:rsidRPr="00BA50D8">
              <w:rPr>
                <w:sz w:val="22"/>
                <w:szCs w:val="22"/>
                <w:lang w:val="en-GB"/>
              </w:rPr>
              <w:t>5.50</w:t>
            </w:r>
          </w:p>
        </w:tc>
        <w:tc>
          <w:tcPr>
            <w:tcW w:w="501" w:type="pct"/>
            <w:noWrap/>
          </w:tcPr>
          <w:p w14:paraId="66A9E4B4" w14:textId="77777777" w:rsidR="00C80DE1" w:rsidRPr="00BA50D8" w:rsidRDefault="00486A8E" w:rsidP="00F66687">
            <w:pPr>
              <w:jc w:val="right"/>
              <w:rPr>
                <w:lang w:val="en-GB"/>
              </w:rPr>
            </w:pPr>
            <w:r w:rsidRPr="00BA50D8">
              <w:rPr>
                <w:sz w:val="22"/>
                <w:szCs w:val="22"/>
                <w:lang w:val="en-GB"/>
              </w:rPr>
              <w:t>11.07</w:t>
            </w:r>
          </w:p>
        </w:tc>
        <w:tc>
          <w:tcPr>
            <w:tcW w:w="501" w:type="pct"/>
            <w:noWrap/>
          </w:tcPr>
          <w:p w14:paraId="66A9E4B5" w14:textId="77777777" w:rsidR="00C80DE1" w:rsidRPr="00BA50D8" w:rsidRDefault="00C80DE1" w:rsidP="00F66687">
            <w:pPr>
              <w:jc w:val="right"/>
              <w:rPr>
                <w:lang w:val="en-GB"/>
              </w:rPr>
            </w:pPr>
            <w:r w:rsidRPr="00BA50D8">
              <w:rPr>
                <w:sz w:val="22"/>
                <w:szCs w:val="22"/>
                <w:lang w:val="en-GB"/>
              </w:rPr>
              <w:t>3.</w:t>
            </w:r>
            <w:r w:rsidR="00486A8E" w:rsidRPr="00BA50D8">
              <w:rPr>
                <w:sz w:val="22"/>
                <w:szCs w:val="22"/>
                <w:lang w:val="en-GB"/>
              </w:rPr>
              <w:t>78</w:t>
            </w:r>
          </w:p>
        </w:tc>
        <w:tc>
          <w:tcPr>
            <w:tcW w:w="501" w:type="pct"/>
            <w:noWrap/>
          </w:tcPr>
          <w:p w14:paraId="66A9E4B6" w14:textId="77777777" w:rsidR="00C80DE1" w:rsidRPr="00BA50D8" w:rsidRDefault="00486A8E" w:rsidP="00F66687">
            <w:pPr>
              <w:jc w:val="right"/>
              <w:rPr>
                <w:lang w:val="en-GB"/>
              </w:rPr>
            </w:pPr>
            <w:r w:rsidRPr="00BA50D8">
              <w:rPr>
                <w:sz w:val="22"/>
                <w:szCs w:val="22"/>
                <w:lang w:val="en-GB"/>
              </w:rPr>
              <w:t>3.70</w:t>
            </w:r>
          </w:p>
        </w:tc>
        <w:tc>
          <w:tcPr>
            <w:tcW w:w="501" w:type="pct"/>
            <w:noWrap/>
          </w:tcPr>
          <w:p w14:paraId="66A9E4B7" w14:textId="77777777" w:rsidR="00C80DE1" w:rsidRPr="00BA50D8" w:rsidRDefault="00486A8E" w:rsidP="00F66687">
            <w:pPr>
              <w:jc w:val="right"/>
              <w:rPr>
                <w:lang w:val="en-GB"/>
              </w:rPr>
            </w:pPr>
            <w:r w:rsidRPr="00BA50D8">
              <w:rPr>
                <w:sz w:val="22"/>
                <w:szCs w:val="22"/>
                <w:lang w:val="en-GB"/>
              </w:rPr>
              <w:t>4.84</w:t>
            </w:r>
          </w:p>
        </w:tc>
        <w:tc>
          <w:tcPr>
            <w:tcW w:w="501" w:type="pct"/>
            <w:noWrap/>
          </w:tcPr>
          <w:p w14:paraId="66A9E4B8" w14:textId="77777777" w:rsidR="00C80DE1" w:rsidRPr="00BA50D8" w:rsidRDefault="00486A8E" w:rsidP="00F66687">
            <w:pPr>
              <w:jc w:val="right"/>
              <w:rPr>
                <w:lang w:val="en-GB"/>
              </w:rPr>
            </w:pPr>
            <w:r w:rsidRPr="00BA50D8">
              <w:rPr>
                <w:sz w:val="22"/>
                <w:szCs w:val="22"/>
                <w:lang w:val="en-GB"/>
              </w:rPr>
              <w:t>3.86</w:t>
            </w:r>
          </w:p>
        </w:tc>
      </w:tr>
      <w:tr w:rsidR="00AE5CB4" w:rsidRPr="00BA50D8" w14:paraId="66A9E4C1" w14:textId="77777777" w:rsidTr="00065B92">
        <w:tc>
          <w:tcPr>
            <w:tcW w:w="1995" w:type="pct"/>
            <w:noWrap/>
          </w:tcPr>
          <w:p w14:paraId="66A9E4BA" w14:textId="77777777" w:rsidR="00C80DE1" w:rsidRPr="00BA50D8" w:rsidRDefault="00C80DE1" w:rsidP="009D65C3">
            <w:pPr>
              <w:ind w:firstLine="851"/>
              <w:rPr>
                <w:lang w:val="en-GB"/>
              </w:rPr>
            </w:pPr>
            <w:r w:rsidRPr="00BA50D8">
              <w:rPr>
                <w:sz w:val="22"/>
                <w:szCs w:val="22"/>
                <w:lang w:val="en-GB"/>
              </w:rPr>
              <w:t>Min</w:t>
            </w:r>
          </w:p>
        </w:tc>
        <w:tc>
          <w:tcPr>
            <w:tcW w:w="501" w:type="pct"/>
          </w:tcPr>
          <w:p w14:paraId="66A9E4BB" w14:textId="77777777" w:rsidR="00C80DE1" w:rsidRPr="00BA50D8" w:rsidRDefault="00C80DE1" w:rsidP="00F66687">
            <w:pPr>
              <w:jc w:val="right"/>
              <w:rPr>
                <w:lang w:val="en-GB"/>
              </w:rPr>
            </w:pPr>
            <w:r w:rsidRPr="00BA50D8">
              <w:rPr>
                <w:sz w:val="22"/>
                <w:szCs w:val="22"/>
                <w:lang w:val="en-GB"/>
              </w:rPr>
              <w:t>10.00</w:t>
            </w:r>
          </w:p>
        </w:tc>
        <w:tc>
          <w:tcPr>
            <w:tcW w:w="501" w:type="pct"/>
            <w:noWrap/>
          </w:tcPr>
          <w:p w14:paraId="66A9E4BC" w14:textId="77777777" w:rsidR="00C80DE1" w:rsidRPr="00BA50D8" w:rsidRDefault="00486A8E" w:rsidP="00F66687">
            <w:pPr>
              <w:jc w:val="right"/>
              <w:rPr>
                <w:lang w:val="en-GB"/>
              </w:rPr>
            </w:pPr>
            <w:r w:rsidRPr="00BA50D8">
              <w:rPr>
                <w:sz w:val="22"/>
                <w:szCs w:val="22"/>
                <w:lang w:val="en-GB"/>
              </w:rPr>
              <w:t>24</w:t>
            </w:r>
            <w:r w:rsidR="00C80DE1" w:rsidRPr="00BA50D8">
              <w:rPr>
                <w:sz w:val="22"/>
                <w:szCs w:val="22"/>
                <w:lang w:val="en-GB"/>
              </w:rPr>
              <w:t>.00</w:t>
            </w:r>
          </w:p>
        </w:tc>
        <w:tc>
          <w:tcPr>
            <w:tcW w:w="501" w:type="pct"/>
            <w:noWrap/>
          </w:tcPr>
          <w:p w14:paraId="66A9E4BD" w14:textId="77777777" w:rsidR="00C80DE1" w:rsidRPr="00BA50D8" w:rsidRDefault="00C80DE1" w:rsidP="00F66687">
            <w:pPr>
              <w:jc w:val="right"/>
              <w:rPr>
                <w:lang w:val="en-GB"/>
              </w:rPr>
            </w:pPr>
            <w:r w:rsidRPr="00BA50D8">
              <w:rPr>
                <w:sz w:val="22"/>
                <w:szCs w:val="22"/>
                <w:lang w:val="en-GB"/>
              </w:rPr>
              <w:t>7.00</w:t>
            </w:r>
          </w:p>
        </w:tc>
        <w:tc>
          <w:tcPr>
            <w:tcW w:w="501" w:type="pct"/>
            <w:noWrap/>
          </w:tcPr>
          <w:p w14:paraId="66A9E4BE" w14:textId="77777777" w:rsidR="00C80DE1" w:rsidRPr="00BA50D8" w:rsidRDefault="00486A8E" w:rsidP="00F66687">
            <w:pPr>
              <w:jc w:val="right"/>
              <w:rPr>
                <w:lang w:val="en-GB"/>
              </w:rPr>
            </w:pPr>
            <w:r w:rsidRPr="00BA50D8">
              <w:rPr>
                <w:sz w:val="22"/>
                <w:szCs w:val="22"/>
                <w:lang w:val="en-GB"/>
              </w:rPr>
              <w:t>8</w:t>
            </w:r>
            <w:r w:rsidR="00C80DE1" w:rsidRPr="00BA50D8">
              <w:rPr>
                <w:sz w:val="22"/>
                <w:szCs w:val="22"/>
                <w:lang w:val="en-GB"/>
              </w:rPr>
              <w:t>.00</w:t>
            </w:r>
          </w:p>
        </w:tc>
        <w:tc>
          <w:tcPr>
            <w:tcW w:w="501" w:type="pct"/>
            <w:noWrap/>
          </w:tcPr>
          <w:p w14:paraId="66A9E4BF" w14:textId="77777777" w:rsidR="00C80DE1" w:rsidRPr="00BA50D8" w:rsidRDefault="00486A8E" w:rsidP="00F66687">
            <w:pPr>
              <w:jc w:val="right"/>
              <w:rPr>
                <w:lang w:val="en-GB"/>
              </w:rPr>
            </w:pPr>
            <w:r w:rsidRPr="00BA50D8">
              <w:rPr>
                <w:sz w:val="22"/>
                <w:szCs w:val="22"/>
                <w:lang w:val="en-GB"/>
              </w:rPr>
              <w:t>14</w:t>
            </w:r>
            <w:r w:rsidR="00C80DE1" w:rsidRPr="00BA50D8">
              <w:rPr>
                <w:sz w:val="22"/>
                <w:szCs w:val="22"/>
                <w:lang w:val="en-GB"/>
              </w:rPr>
              <w:t>.00</w:t>
            </w:r>
          </w:p>
        </w:tc>
        <w:tc>
          <w:tcPr>
            <w:tcW w:w="501" w:type="pct"/>
            <w:noWrap/>
          </w:tcPr>
          <w:p w14:paraId="66A9E4C0" w14:textId="77777777" w:rsidR="00C80DE1" w:rsidRPr="00BA50D8" w:rsidRDefault="00C80DE1" w:rsidP="00F66687">
            <w:pPr>
              <w:jc w:val="right"/>
              <w:rPr>
                <w:lang w:val="en-GB"/>
              </w:rPr>
            </w:pPr>
            <w:r w:rsidRPr="00BA50D8">
              <w:rPr>
                <w:sz w:val="22"/>
                <w:szCs w:val="22"/>
                <w:lang w:val="en-GB"/>
              </w:rPr>
              <w:t>8.00</w:t>
            </w:r>
          </w:p>
        </w:tc>
      </w:tr>
      <w:tr w:rsidR="00AE5CB4" w:rsidRPr="00BA50D8" w14:paraId="66A9E4C9" w14:textId="77777777" w:rsidTr="00065B92">
        <w:tc>
          <w:tcPr>
            <w:tcW w:w="1995" w:type="pct"/>
            <w:noWrap/>
          </w:tcPr>
          <w:p w14:paraId="66A9E4C2" w14:textId="77777777" w:rsidR="00C80DE1" w:rsidRPr="00BA50D8" w:rsidRDefault="00C80DE1" w:rsidP="009D65C3">
            <w:pPr>
              <w:ind w:firstLine="851"/>
              <w:rPr>
                <w:lang w:val="en-GB"/>
              </w:rPr>
            </w:pPr>
            <w:r w:rsidRPr="00BA50D8">
              <w:rPr>
                <w:sz w:val="22"/>
                <w:szCs w:val="22"/>
                <w:lang w:val="en-GB"/>
              </w:rPr>
              <w:t>Max</w:t>
            </w:r>
          </w:p>
        </w:tc>
        <w:tc>
          <w:tcPr>
            <w:tcW w:w="501" w:type="pct"/>
          </w:tcPr>
          <w:p w14:paraId="66A9E4C3" w14:textId="77777777" w:rsidR="00C80DE1" w:rsidRPr="00BA50D8" w:rsidRDefault="00486A8E" w:rsidP="00F66687">
            <w:pPr>
              <w:jc w:val="right"/>
              <w:rPr>
                <w:lang w:val="en-GB"/>
              </w:rPr>
            </w:pPr>
            <w:r w:rsidRPr="00BA50D8">
              <w:rPr>
                <w:sz w:val="22"/>
                <w:szCs w:val="22"/>
                <w:lang w:val="en-GB"/>
              </w:rPr>
              <w:t>34</w:t>
            </w:r>
            <w:r w:rsidR="00C80DE1" w:rsidRPr="00BA50D8">
              <w:rPr>
                <w:sz w:val="22"/>
                <w:szCs w:val="22"/>
                <w:lang w:val="en-GB"/>
              </w:rPr>
              <w:t>.00</w:t>
            </w:r>
          </w:p>
        </w:tc>
        <w:tc>
          <w:tcPr>
            <w:tcW w:w="501" w:type="pct"/>
            <w:noWrap/>
          </w:tcPr>
          <w:p w14:paraId="66A9E4C4" w14:textId="77777777" w:rsidR="00C80DE1" w:rsidRPr="00BA50D8" w:rsidRDefault="00486A8E" w:rsidP="00F66687">
            <w:pPr>
              <w:jc w:val="right"/>
              <w:rPr>
                <w:lang w:val="en-GB"/>
              </w:rPr>
            </w:pPr>
            <w:r w:rsidRPr="00BA50D8">
              <w:rPr>
                <w:sz w:val="22"/>
                <w:szCs w:val="22"/>
                <w:lang w:val="en-GB"/>
              </w:rPr>
              <w:t>84</w:t>
            </w:r>
            <w:r w:rsidR="00C80DE1" w:rsidRPr="00BA50D8">
              <w:rPr>
                <w:sz w:val="22"/>
                <w:szCs w:val="22"/>
                <w:lang w:val="en-GB"/>
              </w:rPr>
              <w:t>.00</w:t>
            </w:r>
          </w:p>
        </w:tc>
        <w:tc>
          <w:tcPr>
            <w:tcW w:w="501" w:type="pct"/>
            <w:noWrap/>
          </w:tcPr>
          <w:p w14:paraId="66A9E4C5" w14:textId="77777777" w:rsidR="00C80DE1" w:rsidRPr="00BA50D8" w:rsidRDefault="00C80DE1" w:rsidP="00F66687">
            <w:pPr>
              <w:jc w:val="right"/>
              <w:rPr>
                <w:lang w:val="en-GB"/>
              </w:rPr>
            </w:pPr>
            <w:r w:rsidRPr="00BA50D8">
              <w:rPr>
                <w:sz w:val="22"/>
                <w:szCs w:val="22"/>
                <w:lang w:val="en-GB"/>
              </w:rPr>
              <w:t>28.00</w:t>
            </w:r>
          </w:p>
        </w:tc>
        <w:tc>
          <w:tcPr>
            <w:tcW w:w="501" w:type="pct"/>
            <w:noWrap/>
          </w:tcPr>
          <w:p w14:paraId="66A9E4C6" w14:textId="77777777" w:rsidR="00C80DE1" w:rsidRPr="00BA50D8" w:rsidRDefault="00C80DE1" w:rsidP="00F66687">
            <w:pPr>
              <w:jc w:val="right"/>
              <w:rPr>
                <w:lang w:val="en-GB"/>
              </w:rPr>
            </w:pPr>
            <w:r w:rsidRPr="00BA50D8">
              <w:rPr>
                <w:sz w:val="22"/>
                <w:szCs w:val="22"/>
                <w:lang w:val="en-GB"/>
              </w:rPr>
              <w:t>28.00</w:t>
            </w:r>
          </w:p>
        </w:tc>
        <w:tc>
          <w:tcPr>
            <w:tcW w:w="501" w:type="pct"/>
            <w:noWrap/>
          </w:tcPr>
          <w:p w14:paraId="66A9E4C7" w14:textId="77777777" w:rsidR="00C80DE1" w:rsidRPr="00BA50D8" w:rsidRDefault="00486A8E" w:rsidP="00F66687">
            <w:pPr>
              <w:jc w:val="right"/>
              <w:rPr>
                <w:lang w:val="en-GB"/>
              </w:rPr>
            </w:pPr>
            <w:r w:rsidRPr="00BA50D8">
              <w:rPr>
                <w:sz w:val="22"/>
                <w:szCs w:val="22"/>
                <w:lang w:val="en-GB"/>
              </w:rPr>
              <w:t>39</w:t>
            </w:r>
            <w:r w:rsidR="00C80DE1" w:rsidRPr="00BA50D8">
              <w:rPr>
                <w:sz w:val="22"/>
                <w:szCs w:val="22"/>
                <w:lang w:val="en-GB"/>
              </w:rPr>
              <w:t>.00</w:t>
            </w:r>
          </w:p>
        </w:tc>
        <w:tc>
          <w:tcPr>
            <w:tcW w:w="501" w:type="pct"/>
            <w:noWrap/>
          </w:tcPr>
          <w:p w14:paraId="66A9E4C8" w14:textId="77777777" w:rsidR="00C80DE1" w:rsidRPr="00BA50D8" w:rsidRDefault="00486A8E" w:rsidP="00F66687">
            <w:pPr>
              <w:jc w:val="right"/>
              <w:rPr>
                <w:lang w:val="en-GB"/>
              </w:rPr>
            </w:pPr>
            <w:r w:rsidRPr="00BA50D8">
              <w:rPr>
                <w:sz w:val="22"/>
                <w:szCs w:val="22"/>
                <w:lang w:val="en-GB"/>
              </w:rPr>
              <w:t>31</w:t>
            </w:r>
            <w:r w:rsidR="00C80DE1" w:rsidRPr="00BA50D8">
              <w:rPr>
                <w:sz w:val="22"/>
                <w:szCs w:val="22"/>
                <w:lang w:val="en-GB"/>
              </w:rPr>
              <w:t>.00</w:t>
            </w:r>
          </w:p>
        </w:tc>
      </w:tr>
      <w:tr w:rsidR="00AE5CB4" w:rsidRPr="00BA50D8" w14:paraId="66A9E4D1" w14:textId="77777777" w:rsidTr="00065B92">
        <w:tc>
          <w:tcPr>
            <w:tcW w:w="1995" w:type="pct"/>
            <w:noWrap/>
          </w:tcPr>
          <w:p w14:paraId="66A9E4CA" w14:textId="77777777" w:rsidR="00C80DE1" w:rsidRPr="00BA50D8" w:rsidRDefault="00C80DE1" w:rsidP="009D65C3">
            <w:pPr>
              <w:ind w:firstLine="851"/>
              <w:rPr>
                <w:lang w:val="en-GB"/>
              </w:rPr>
            </w:pPr>
            <w:r w:rsidRPr="00BA50D8">
              <w:rPr>
                <w:sz w:val="22"/>
                <w:szCs w:val="22"/>
                <w:lang w:val="en-GB"/>
              </w:rPr>
              <w:t>Skewness</w:t>
            </w:r>
          </w:p>
        </w:tc>
        <w:tc>
          <w:tcPr>
            <w:tcW w:w="501" w:type="pct"/>
          </w:tcPr>
          <w:p w14:paraId="66A9E4CB" w14:textId="77777777" w:rsidR="00C80DE1" w:rsidRPr="00BA50D8" w:rsidRDefault="00486A8E" w:rsidP="00F66687">
            <w:pPr>
              <w:jc w:val="right"/>
              <w:rPr>
                <w:lang w:val="en-GB"/>
              </w:rPr>
            </w:pPr>
            <w:r w:rsidRPr="00BA50D8">
              <w:rPr>
                <w:sz w:val="22"/>
                <w:szCs w:val="22"/>
                <w:lang w:val="en-GB"/>
              </w:rPr>
              <w:t>0.35</w:t>
            </w:r>
          </w:p>
        </w:tc>
        <w:tc>
          <w:tcPr>
            <w:tcW w:w="501" w:type="pct"/>
            <w:noWrap/>
          </w:tcPr>
          <w:p w14:paraId="66A9E4CC" w14:textId="77777777" w:rsidR="00C80DE1" w:rsidRPr="00BA50D8" w:rsidRDefault="00486A8E" w:rsidP="00F66687">
            <w:pPr>
              <w:jc w:val="right"/>
              <w:rPr>
                <w:lang w:val="en-GB"/>
              </w:rPr>
            </w:pPr>
            <w:r w:rsidRPr="00BA50D8">
              <w:rPr>
                <w:sz w:val="22"/>
                <w:szCs w:val="22"/>
                <w:lang w:val="en-GB"/>
              </w:rPr>
              <w:t>0.54</w:t>
            </w:r>
          </w:p>
        </w:tc>
        <w:tc>
          <w:tcPr>
            <w:tcW w:w="501" w:type="pct"/>
            <w:noWrap/>
          </w:tcPr>
          <w:p w14:paraId="66A9E4CD" w14:textId="77777777" w:rsidR="00C80DE1" w:rsidRPr="00BA50D8" w:rsidRDefault="00486A8E" w:rsidP="00F66687">
            <w:pPr>
              <w:jc w:val="right"/>
              <w:rPr>
                <w:lang w:val="en-GB"/>
              </w:rPr>
            </w:pPr>
            <w:r w:rsidRPr="00BA50D8">
              <w:rPr>
                <w:sz w:val="22"/>
                <w:szCs w:val="22"/>
                <w:lang w:val="en-GB"/>
              </w:rPr>
              <w:t>-0.31</w:t>
            </w:r>
          </w:p>
        </w:tc>
        <w:tc>
          <w:tcPr>
            <w:tcW w:w="501" w:type="pct"/>
            <w:noWrap/>
          </w:tcPr>
          <w:p w14:paraId="66A9E4CE" w14:textId="77777777" w:rsidR="00C80DE1" w:rsidRPr="00BA50D8" w:rsidRDefault="00C80DE1" w:rsidP="00F66687">
            <w:pPr>
              <w:jc w:val="right"/>
              <w:rPr>
                <w:lang w:val="en-GB"/>
              </w:rPr>
            </w:pPr>
            <w:r w:rsidRPr="00BA50D8">
              <w:rPr>
                <w:sz w:val="22"/>
                <w:szCs w:val="22"/>
                <w:lang w:val="en-GB"/>
              </w:rPr>
              <w:t>-0</w:t>
            </w:r>
            <w:r w:rsidR="00486A8E" w:rsidRPr="00BA50D8">
              <w:rPr>
                <w:sz w:val="22"/>
                <w:szCs w:val="22"/>
                <w:lang w:val="en-GB"/>
              </w:rPr>
              <w:t>.44</w:t>
            </w:r>
          </w:p>
        </w:tc>
        <w:tc>
          <w:tcPr>
            <w:tcW w:w="501" w:type="pct"/>
            <w:noWrap/>
          </w:tcPr>
          <w:p w14:paraId="66A9E4CF" w14:textId="77777777" w:rsidR="00C80DE1" w:rsidRPr="00BA50D8" w:rsidRDefault="00C80DE1" w:rsidP="00F66687">
            <w:pPr>
              <w:jc w:val="right"/>
              <w:rPr>
                <w:lang w:val="en-GB"/>
              </w:rPr>
            </w:pPr>
            <w:r w:rsidRPr="00BA50D8">
              <w:rPr>
                <w:sz w:val="22"/>
                <w:szCs w:val="22"/>
                <w:lang w:val="en-GB"/>
              </w:rPr>
              <w:t>-0</w:t>
            </w:r>
            <w:r w:rsidR="00486A8E" w:rsidRPr="00BA50D8">
              <w:rPr>
                <w:sz w:val="22"/>
                <w:szCs w:val="22"/>
                <w:lang w:val="en-GB"/>
              </w:rPr>
              <w:t>.25</w:t>
            </w:r>
          </w:p>
        </w:tc>
        <w:tc>
          <w:tcPr>
            <w:tcW w:w="501" w:type="pct"/>
            <w:noWrap/>
          </w:tcPr>
          <w:p w14:paraId="66A9E4D0" w14:textId="77777777" w:rsidR="00C80DE1" w:rsidRPr="00BA50D8" w:rsidRDefault="00C80DE1" w:rsidP="00F66687">
            <w:pPr>
              <w:jc w:val="right"/>
              <w:rPr>
                <w:lang w:val="en-GB"/>
              </w:rPr>
            </w:pPr>
            <w:r w:rsidRPr="00BA50D8">
              <w:rPr>
                <w:sz w:val="22"/>
                <w:szCs w:val="22"/>
                <w:lang w:val="en-GB"/>
              </w:rPr>
              <w:t>0</w:t>
            </w:r>
            <w:r w:rsidR="00486A8E" w:rsidRPr="00BA50D8">
              <w:rPr>
                <w:sz w:val="22"/>
                <w:szCs w:val="22"/>
                <w:lang w:val="en-GB"/>
              </w:rPr>
              <w:t>.2</w:t>
            </w:r>
            <w:r w:rsidRPr="00BA50D8">
              <w:rPr>
                <w:sz w:val="22"/>
                <w:szCs w:val="22"/>
                <w:lang w:val="en-GB"/>
              </w:rPr>
              <w:t>9</w:t>
            </w:r>
          </w:p>
        </w:tc>
      </w:tr>
      <w:tr w:rsidR="00AE5CB4" w:rsidRPr="00BA50D8" w14:paraId="66A9E4D9" w14:textId="77777777" w:rsidTr="00065B92">
        <w:trPr>
          <w:trHeight w:val="72"/>
        </w:trPr>
        <w:tc>
          <w:tcPr>
            <w:tcW w:w="1995" w:type="pct"/>
            <w:noWrap/>
          </w:tcPr>
          <w:p w14:paraId="66A9E4D2" w14:textId="77777777" w:rsidR="00C80DE1" w:rsidRPr="00BA50D8" w:rsidRDefault="00C80DE1" w:rsidP="009D65C3">
            <w:pPr>
              <w:ind w:firstLine="851"/>
              <w:rPr>
                <w:lang w:val="en-GB"/>
              </w:rPr>
            </w:pPr>
            <w:r w:rsidRPr="00BA50D8">
              <w:rPr>
                <w:sz w:val="22"/>
                <w:szCs w:val="22"/>
                <w:lang w:val="en-GB"/>
              </w:rPr>
              <w:t>Kurtosis</w:t>
            </w:r>
          </w:p>
        </w:tc>
        <w:tc>
          <w:tcPr>
            <w:tcW w:w="501" w:type="pct"/>
          </w:tcPr>
          <w:p w14:paraId="66A9E4D3" w14:textId="77777777" w:rsidR="00C80DE1" w:rsidRPr="00BA50D8" w:rsidRDefault="00486A8E" w:rsidP="00F66687">
            <w:pPr>
              <w:jc w:val="right"/>
              <w:rPr>
                <w:lang w:val="en-GB"/>
              </w:rPr>
            </w:pPr>
            <w:r w:rsidRPr="00BA50D8">
              <w:rPr>
                <w:sz w:val="22"/>
                <w:szCs w:val="22"/>
                <w:lang w:val="en-GB"/>
              </w:rPr>
              <w:t>-0.65</w:t>
            </w:r>
          </w:p>
        </w:tc>
        <w:tc>
          <w:tcPr>
            <w:tcW w:w="501" w:type="pct"/>
            <w:noWrap/>
          </w:tcPr>
          <w:p w14:paraId="66A9E4D4" w14:textId="77777777" w:rsidR="00C80DE1" w:rsidRPr="00BA50D8" w:rsidRDefault="00C7321B" w:rsidP="00F66687">
            <w:pPr>
              <w:jc w:val="right"/>
              <w:rPr>
                <w:lang w:val="en-GB"/>
              </w:rPr>
            </w:pPr>
            <w:r w:rsidRPr="00BA50D8">
              <w:rPr>
                <w:sz w:val="22"/>
                <w:szCs w:val="22"/>
                <w:lang w:val="en-GB"/>
              </w:rPr>
              <w:t>-</w:t>
            </w:r>
            <w:r w:rsidR="00486A8E" w:rsidRPr="00BA50D8">
              <w:rPr>
                <w:sz w:val="22"/>
                <w:szCs w:val="22"/>
                <w:lang w:val="en-GB"/>
              </w:rPr>
              <w:t>0.0</w:t>
            </w:r>
            <w:r w:rsidRPr="00BA50D8">
              <w:rPr>
                <w:sz w:val="22"/>
                <w:szCs w:val="22"/>
                <w:lang w:val="en-GB"/>
              </w:rPr>
              <w:t>1</w:t>
            </w:r>
          </w:p>
        </w:tc>
        <w:tc>
          <w:tcPr>
            <w:tcW w:w="501" w:type="pct"/>
            <w:noWrap/>
          </w:tcPr>
          <w:p w14:paraId="66A9E4D5" w14:textId="77777777" w:rsidR="00C80DE1" w:rsidRPr="00BA50D8" w:rsidRDefault="00486A8E" w:rsidP="00F66687">
            <w:pPr>
              <w:jc w:val="right"/>
              <w:rPr>
                <w:lang w:val="en-GB"/>
              </w:rPr>
            </w:pPr>
            <w:r w:rsidRPr="00BA50D8">
              <w:rPr>
                <w:sz w:val="22"/>
                <w:szCs w:val="22"/>
                <w:lang w:val="en-GB"/>
              </w:rPr>
              <w:t>-0.01</w:t>
            </w:r>
          </w:p>
        </w:tc>
        <w:tc>
          <w:tcPr>
            <w:tcW w:w="501" w:type="pct"/>
            <w:noWrap/>
          </w:tcPr>
          <w:p w14:paraId="66A9E4D6" w14:textId="77777777" w:rsidR="00C80DE1" w:rsidRPr="00BA50D8" w:rsidRDefault="00486A8E" w:rsidP="00F66687">
            <w:pPr>
              <w:jc w:val="right"/>
              <w:rPr>
                <w:lang w:val="en-GB"/>
              </w:rPr>
            </w:pPr>
            <w:r w:rsidRPr="00BA50D8">
              <w:rPr>
                <w:sz w:val="22"/>
                <w:szCs w:val="22"/>
                <w:lang w:val="en-GB"/>
              </w:rPr>
              <w:t>-0.23</w:t>
            </w:r>
          </w:p>
        </w:tc>
        <w:tc>
          <w:tcPr>
            <w:tcW w:w="501" w:type="pct"/>
            <w:noWrap/>
          </w:tcPr>
          <w:p w14:paraId="66A9E4D7" w14:textId="77777777" w:rsidR="00C80DE1" w:rsidRPr="00BA50D8" w:rsidRDefault="00486A8E" w:rsidP="00F66687">
            <w:pPr>
              <w:jc w:val="right"/>
              <w:rPr>
                <w:lang w:val="en-GB"/>
              </w:rPr>
            </w:pPr>
            <w:r w:rsidRPr="00BA50D8">
              <w:rPr>
                <w:sz w:val="22"/>
                <w:szCs w:val="22"/>
                <w:lang w:val="en-GB"/>
              </w:rPr>
              <w:t>-0.23</w:t>
            </w:r>
          </w:p>
        </w:tc>
        <w:tc>
          <w:tcPr>
            <w:tcW w:w="501" w:type="pct"/>
            <w:noWrap/>
          </w:tcPr>
          <w:p w14:paraId="66A9E4D8" w14:textId="77777777" w:rsidR="00C80DE1" w:rsidRPr="00BA50D8" w:rsidRDefault="00486A8E" w:rsidP="00F66687">
            <w:pPr>
              <w:jc w:val="right"/>
              <w:rPr>
                <w:lang w:val="en-GB"/>
              </w:rPr>
            </w:pPr>
            <w:r w:rsidRPr="00BA50D8">
              <w:rPr>
                <w:sz w:val="22"/>
                <w:szCs w:val="22"/>
                <w:lang w:val="en-GB"/>
              </w:rPr>
              <w:t>0.03</w:t>
            </w:r>
          </w:p>
        </w:tc>
      </w:tr>
      <w:tr w:rsidR="00AE5CB4" w:rsidRPr="00BA50D8" w14:paraId="66A9E4E1" w14:textId="77777777" w:rsidTr="00065B92">
        <w:tc>
          <w:tcPr>
            <w:tcW w:w="1995" w:type="pct"/>
            <w:noWrap/>
          </w:tcPr>
          <w:p w14:paraId="66A9E4DA" w14:textId="77777777" w:rsidR="00C80DE1" w:rsidRPr="00BA50D8" w:rsidRDefault="00C80DE1" w:rsidP="009D65C3">
            <w:pPr>
              <w:ind w:firstLine="851"/>
              <w:rPr>
                <w:lang w:val="en-GB"/>
              </w:rPr>
            </w:pPr>
            <w:r w:rsidRPr="00BA50D8">
              <w:rPr>
                <w:sz w:val="22"/>
                <w:szCs w:val="22"/>
                <w:lang w:val="en-GB"/>
              </w:rPr>
              <w:t>Alpha</w:t>
            </w:r>
          </w:p>
        </w:tc>
        <w:tc>
          <w:tcPr>
            <w:tcW w:w="501" w:type="pct"/>
          </w:tcPr>
          <w:p w14:paraId="66A9E4DB" w14:textId="77777777" w:rsidR="00C80DE1" w:rsidRPr="00BA50D8" w:rsidRDefault="00486A8E" w:rsidP="00F66687">
            <w:pPr>
              <w:jc w:val="right"/>
              <w:rPr>
                <w:lang w:val="en-GB"/>
              </w:rPr>
            </w:pPr>
            <w:r w:rsidRPr="00BA50D8">
              <w:rPr>
                <w:sz w:val="22"/>
                <w:szCs w:val="22"/>
                <w:lang w:val="en-GB"/>
              </w:rPr>
              <w:t>0.76</w:t>
            </w:r>
          </w:p>
        </w:tc>
        <w:tc>
          <w:tcPr>
            <w:tcW w:w="501" w:type="pct"/>
            <w:noWrap/>
          </w:tcPr>
          <w:p w14:paraId="66A9E4DC" w14:textId="77777777" w:rsidR="00C80DE1" w:rsidRPr="00BA50D8" w:rsidRDefault="00486A8E" w:rsidP="00F66687">
            <w:pPr>
              <w:jc w:val="right"/>
              <w:rPr>
                <w:lang w:val="en-GB"/>
              </w:rPr>
            </w:pPr>
            <w:r w:rsidRPr="00BA50D8">
              <w:rPr>
                <w:sz w:val="22"/>
                <w:szCs w:val="22"/>
                <w:lang w:val="en-GB"/>
              </w:rPr>
              <w:t>0.91</w:t>
            </w:r>
          </w:p>
        </w:tc>
        <w:tc>
          <w:tcPr>
            <w:tcW w:w="501" w:type="pct"/>
            <w:noWrap/>
          </w:tcPr>
          <w:p w14:paraId="66A9E4DD" w14:textId="77777777" w:rsidR="00C80DE1" w:rsidRPr="00BA50D8" w:rsidRDefault="00486A8E" w:rsidP="00F66687">
            <w:pPr>
              <w:jc w:val="right"/>
              <w:rPr>
                <w:lang w:val="en-GB"/>
              </w:rPr>
            </w:pPr>
            <w:r w:rsidRPr="00BA50D8">
              <w:rPr>
                <w:sz w:val="22"/>
                <w:szCs w:val="22"/>
                <w:lang w:val="en-GB"/>
              </w:rPr>
              <w:t>0.80</w:t>
            </w:r>
          </w:p>
        </w:tc>
        <w:tc>
          <w:tcPr>
            <w:tcW w:w="501" w:type="pct"/>
            <w:noWrap/>
          </w:tcPr>
          <w:p w14:paraId="66A9E4DE" w14:textId="77777777" w:rsidR="00C80DE1" w:rsidRPr="00BA50D8" w:rsidRDefault="00486A8E" w:rsidP="00F66687">
            <w:pPr>
              <w:jc w:val="right"/>
              <w:rPr>
                <w:lang w:val="en-GB"/>
              </w:rPr>
            </w:pPr>
            <w:r w:rsidRPr="00BA50D8">
              <w:rPr>
                <w:sz w:val="22"/>
                <w:szCs w:val="22"/>
                <w:lang w:val="en-GB"/>
              </w:rPr>
              <w:t>0.82</w:t>
            </w:r>
          </w:p>
        </w:tc>
        <w:tc>
          <w:tcPr>
            <w:tcW w:w="501" w:type="pct"/>
            <w:noWrap/>
          </w:tcPr>
          <w:p w14:paraId="66A9E4DF" w14:textId="77777777" w:rsidR="00C80DE1" w:rsidRPr="00BA50D8" w:rsidRDefault="00C80DE1" w:rsidP="00F66687">
            <w:pPr>
              <w:jc w:val="right"/>
              <w:rPr>
                <w:lang w:val="en-GB"/>
              </w:rPr>
            </w:pPr>
            <w:r w:rsidRPr="00BA50D8">
              <w:rPr>
                <w:sz w:val="22"/>
                <w:szCs w:val="22"/>
                <w:lang w:val="en-GB"/>
              </w:rPr>
              <w:t>0.78</w:t>
            </w:r>
          </w:p>
        </w:tc>
        <w:tc>
          <w:tcPr>
            <w:tcW w:w="501" w:type="pct"/>
            <w:noWrap/>
          </w:tcPr>
          <w:p w14:paraId="66A9E4E0" w14:textId="77777777" w:rsidR="00C80DE1" w:rsidRPr="00BA50D8" w:rsidRDefault="00486A8E" w:rsidP="00F66687">
            <w:pPr>
              <w:jc w:val="right"/>
              <w:rPr>
                <w:lang w:val="en-GB"/>
              </w:rPr>
            </w:pPr>
            <w:r w:rsidRPr="00BA50D8">
              <w:rPr>
                <w:sz w:val="22"/>
                <w:szCs w:val="22"/>
                <w:lang w:val="en-GB"/>
              </w:rPr>
              <w:t>0.67</w:t>
            </w:r>
          </w:p>
        </w:tc>
      </w:tr>
      <w:tr w:rsidR="00AE5CB4" w:rsidRPr="00BA50D8" w14:paraId="66A9E4F0" w14:textId="77777777" w:rsidTr="00065B92">
        <w:tc>
          <w:tcPr>
            <w:tcW w:w="1995" w:type="pct"/>
            <w:noWrap/>
          </w:tcPr>
          <w:p w14:paraId="66A9E4E2" w14:textId="77777777" w:rsidR="00AE5CB4" w:rsidRDefault="00AE5CB4" w:rsidP="009D65C3">
            <w:pPr>
              <w:ind w:firstLine="851"/>
              <w:rPr>
                <w:lang w:val="en-GB"/>
              </w:rPr>
            </w:pPr>
            <w:r>
              <w:rPr>
                <w:sz w:val="22"/>
                <w:szCs w:val="22"/>
                <w:lang w:val="en-GB"/>
              </w:rPr>
              <w:t>Range of Corrected Item Total</w:t>
            </w:r>
          </w:p>
          <w:p w14:paraId="66A9E4E3" w14:textId="77777777" w:rsidR="00A6645A" w:rsidRPr="00BA50D8" w:rsidRDefault="00AE5CB4" w:rsidP="009D65C3">
            <w:pPr>
              <w:ind w:firstLine="851"/>
              <w:rPr>
                <w:lang w:val="en-GB"/>
              </w:rPr>
            </w:pPr>
            <w:r>
              <w:rPr>
                <w:sz w:val="22"/>
                <w:szCs w:val="22"/>
                <w:lang w:val="en-GB"/>
              </w:rPr>
              <w:t>Correlation</w:t>
            </w:r>
          </w:p>
        </w:tc>
        <w:tc>
          <w:tcPr>
            <w:tcW w:w="501" w:type="pct"/>
          </w:tcPr>
          <w:p w14:paraId="66A9E4E4" w14:textId="77777777" w:rsidR="00AE5CB4" w:rsidRDefault="00AE5CB4" w:rsidP="00AE5CB4">
            <w:pPr>
              <w:jc w:val="right"/>
              <w:rPr>
                <w:rFonts w:ascii="Calibri" w:hAnsi="Calibri" w:cs="Calibri"/>
                <w:color w:val="000000"/>
                <w:lang w:val="de-DE" w:eastAsia="de-DE"/>
              </w:rPr>
            </w:pPr>
            <w:r>
              <w:rPr>
                <w:rFonts w:ascii="Calibri" w:hAnsi="Calibri" w:cs="Calibri"/>
                <w:color w:val="000000"/>
                <w:sz w:val="22"/>
                <w:szCs w:val="22"/>
              </w:rPr>
              <w:t>.31-.57</w:t>
            </w:r>
          </w:p>
          <w:p w14:paraId="66A9E4E5" w14:textId="77777777" w:rsidR="00A6645A" w:rsidRPr="00BA50D8" w:rsidRDefault="00A6645A" w:rsidP="00F66687">
            <w:pPr>
              <w:jc w:val="right"/>
              <w:rPr>
                <w:lang w:val="en-GB"/>
              </w:rPr>
            </w:pPr>
          </w:p>
        </w:tc>
        <w:tc>
          <w:tcPr>
            <w:tcW w:w="501" w:type="pct"/>
            <w:noWrap/>
          </w:tcPr>
          <w:p w14:paraId="66A9E4E6" w14:textId="77777777" w:rsidR="00AE5CB4" w:rsidRDefault="00AE5CB4" w:rsidP="00AE5CB4">
            <w:pPr>
              <w:jc w:val="right"/>
              <w:rPr>
                <w:rFonts w:ascii="Calibri" w:hAnsi="Calibri" w:cs="Calibri"/>
                <w:color w:val="000000"/>
                <w:lang w:val="de-DE" w:eastAsia="de-DE"/>
              </w:rPr>
            </w:pPr>
            <w:r>
              <w:rPr>
                <w:rFonts w:ascii="Calibri" w:hAnsi="Calibri" w:cs="Calibri"/>
                <w:color w:val="000000"/>
                <w:sz w:val="22"/>
                <w:szCs w:val="22"/>
              </w:rPr>
              <w:t>.37-.70</w:t>
            </w:r>
          </w:p>
          <w:p w14:paraId="66A9E4E7" w14:textId="77777777" w:rsidR="00A6645A" w:rsidRPr="00BA50D8" w:rsidRDefault="00A6645A" w:rsidP="00F66687">
            <w:pPr>
              <w:jc w:val="right"/>
              <w:rPr>
                <w:lang w:val="en-GB"/>
              </w:rPr>
            </w:pPr>
          </w:p>
        </w:tc>
        <w:tc>
          <w:tcPr>
            <w:tcW w:w="501" w:type="pct"/>
            <w:noWrap/>
          </w:tcPr>
          <w:p w14:paraId="66A9E4E8" w14:textId="77777777" w:rsidR="00AE5CB4" w:rsidRDefault="00AE5CB4" w:rsidP="00AE5CB4">
            <w:pPr>
              <w:jc w:val="right"/>
              <w:rPr>
                <w:rFonts w:ascii="Calibri" w:hAnsi="Calibri" w:cs="Calibri"/>
                <w:color w:val="000000"/>
                <w:lang w:val="de-DE" w:eastAsia="de-DE"/>
              </w:rPr>
            </w:pPr>
            <w:r>
              <w:rPr>
                <w:rFonts w:ascii="Calibri" w:hAnsi="Calibri" w:cs="Calibri"/>
                <w:color w:val="000000"/>
                <w:sz w:val="22"/>
                <w:szCs w:val="22"/>
              </w:rPr>
              <w:t>.46-.59</w:t>
            </w:r>
          </w:p>
          <w:p w14:paraId="66A9E4E9" w14:textId="77777777" w:rsidR="00A6645A" w:rsidRPr="00BA50D8" w:rsidRDefault="00A6645A" w:rsidP="00F66687">
            <w:pPr>
              <w:jc w:val="right"/>
              <w:rPr>
                <w:lang w:val="en-GB"/>
              </w:rPr>
            </w:pPr>
          </w:p>
        </w:tc>
        <w:tc>
          <w:tcPr>
            <w:tcW w:w="501" w:type="pct"/>
            <w:noWrap/>
          </w:tcPr>
          <w:p w14:paraId="66A9E4EA" w14:textId="77777777" w:rsidR="00AE5CB4" w:rsidRDefault="00AE5CB4" w:rsidP="00AE5CB4">
            <w:pPr>
              <w:jc w:val="right"/>
              <w:rPr>
                <w:rFonts w:ascii="Calibri" w:hAnsi="Calibri" w:cs="Calibri"/>
                <w:color w:val="000000"/>
                <w:lang w:val="de-DE" w:eastAsia="de-DE"/>
              </w:rPr>
            </w:pPr>
            <w:r>
              <w:rPr>
                <w:rFonts w:ascii="Calibri" w:hAnsi="Calibri" w:cs="Calibri"/>
                <w:color w:val="000000"/>
                <w:sz w:val="22"/>
                <w:szCs w:val="22"/>
              </w:rPr>
              <w:t>.40-.69</w:t>
            </w:r>
          </w:p>
          <w:p w14:paraId="66A9E4EB" w14:textId="77777777" w:rsidR="00A6645A" w:rsidRPr="00BA50D8" w:rsidRDefault="00A6645A" w:rsidP="00F66687">
            <w:pPr>
              <w:jc w:val="right"/>
              <w:rPr>
                <w:lang w:val="en-GB"/>
              </w:rPr>
            </w:pPr>
          </w:p>
        </w:tc>
        <w:tc>
          <w:tcPr>
            <w:tcW w:w="501" w:type="pct"/>
            <w:noWrap/>
          </w:tcPr>
          <w:p w14:paraId="66A9E4EC" w14:textId="77777777" w:rsidR="00AE5CB4" w:rsidRDefault="00AE5CB4" w:rsidP="00AE5CB4">
            <w:pPr>
              <w:jc w:val="right"/>
              <w:rPr>
                <w:rFonts w:ascii="Calibri" w:hAnsi="Calibri" w:cs="Calibri"/>
                <w:color w:val="000000"/>
                <w:lang w:val="de-DE" w:eastAsia="de-DE"/>
              </w:rPr>
            </w:pPr>
            <w:r>
              <w:rPr>
                <w:rFonts w:ascii="Calibri" w:hAnsi="Calibri" w:cs="Calibri"/>
                <w:color w:val="000000"/>
                <w:sz w:val="22"/>
                <w:szCs w:val="22"/>
              </w:rPr>
              <w:t>.28-.61</w:t>
            </w:r>
          </w:p>
          <w:p w14:paraId="66A9E4ED" w14:textId="77777777" w:rsidR="00A6645A" w:rsidRPr="00BA50D8" w:rsidRDefault="00A6645A" w:rsidP="00F66687">
            <w:pPr>
              <w:jc w:val="right"/>
              <w:rPr>
                <w:lang w:val="en-GB"/>
              </w:rPr>
            </w:pPr>
          </w:p>
        </w:tc>
        <w:tc>
          <w:tcPr>
            <w:tcW w:w="501" w:type="pct"/>
            <w:noWrap/>
          </w:tcPr>
          <w:p w14:paraId="66A9E4EE" w14:textId="77777777" w:rsidR="00AE5CB4" w:rsidRDefault="00AE5CB4" w:rsidP="00AE5CB4">
            <w:pPr>
              <w:jc w:val="right"/>
              <w:rPr>
                <w:rFonts w:ascii="Calibri" w:hAnsi="Calibri" w:cs="Calibri"/>
                <w:color w:val="000000"/>
                <w:lang w:val="de-DE" w:eastAsia="de-DE"/>
              </w:rPr>
            </w:pPr>
            <w:r>
              <w:rPr>
                <w:rFonts w:ascii="Calibri" w:hAnsi="Calibri" w:cs="Calibri"/>
                <w:color w:val="000000"/>
                <w:sz w:val="22"/>
                <w:szCs w:val="22"/>
              </w:rPr>
              <w:t>.27-.50</w:t>
            </w:r>
          </w:p>
          <w:p w14:paraId="66A9E4EF" w14:textId="77777777" w:rsidR="00A6645A" w:rsidRPr="00BA50D8" w:rsidRDefault="00A6645A" w:rsidP="00F66687">
            <w:pPr>
              <w:jc w:val="right"/>
              <w:rPr>
                <w:lang w:val="en-GB"/>
              </w:rPr>
            </w:pPr>
          </w:p>
        </w:tc>
      </w:tr>
      <w:tr w:rsidR="00AE5CB4" w:rsidRPr="00BA50D8" w14:paraId="66A9E4F8" w14:textId="77777777" w:rsidTr="00065B92">
        <w:trPr>
          <w:trHeight w:val="87"/>
        </w:trPr>
        <w:tc>
          <w:tcPr>
            <w:tcW w:w="1995" w:type="pct"/>
            <w:tcBorders>
              <w:bottom w:val="single" w:sz="4" w:space="0" w:color="auto"/>
            </w:tcBorders>
            <w:noWrap/>
          </w:tcPr>
          <w:p w14:paraId="66A9E4F1" w14:textId="77777777" w:rsidR="00AE5CB4" w:rsidRDefault="00AE5CB4" w:rsidP="009D65C3">
            <w:pPr>
              <w:ind w:firstLine="851"/>
              <w:rPr>
                <w:lang w:val="en-GB"/>
              </w:rPr>
            </w:pPr>
            <w:r>
              <w:rPr>
                <w:sz w:val="22"/>
                <w:szCs w:val="22"/>
                <w:lang w:val="en-GB"/>
              </w:rPr>
              <w:t>Range of Item Difficulty</w:t>
            </w:r>
          </w:p>
        </w:tc>
        <w:tc>
          <w:tcPr>
            <w:tcW w:w="501" w:type="pct"/>
            <w:tcBorders>
              <w:bottom w:val="single" w:sz="4" w:space="0" w:color="auto"/>
            </w:tcBorders>
          </w:tcPr>
          <w:p w14:paraId="66A9E4F2" w14:textId="77777777" w:rsidR="00AE5CB4" w:rsidRPr="00BA50D8" w:rsidRDefault="00AE5CB4" w:rsidP="00F66687">
            <w:pPr>
              <w:jc w:val="right"/>
              <w:rPr>
                <w:lang w:val="en-GB"/>
              </w:rPr>
            </w:pPr>
            <w:r>
              <w:rPr>
                <w:sz w:val="22"/>
                <w:szCs w:val="22"/>
                <w:lang w:val="en-GB"/>
              </w:rPr>
              <w:t>0.38-0.60</w:t>
            </w:r>
          </w:p>
        </w:tc>
        <w:tc>
          <w:tcPr>
            <w:tcW w:w="501" w:type="pct"/>
            <w:tcBorders>
              <w:bottom w:val="single" w:sz="4" w:space="0" w:color="auto"/>
            </w:tcBorders>
            <w:noWrap/>
          </w:tcPr>
          <w:p w14:paraId="66A9E4F3" w14:textId="77777777" w:rsidR="00AE5CB4" w:rsidRPr="00BA50D8" w:rsidRDefault="00AE5CB4" w:rsidP="00F66687">
            <w:pPr>
              <w:jc w:val="right"/>
              <w:rPr>
                <w:lang w:val="en-GB"/>
              </w:rPr>
            </w:pPr>
            <w:r>
              <w:rPr>
                <w:sz w:val="22"/>
                <w:szCs w:val="22"/>
                <w:lang w:val="en-GB"/>
              </w:rPr>
              <w:t>0.36-0.63</w:t>
            </w:r>
          </w:p>
        </w:tc>
        <w:tc>
          <w:tcPr>
            <w:tcW w:w="501" w:type="pct"/>
            <w:tcBorders>
              <w:bottom w:val="single" w:sz="4" w:space="0" w:color="auto"/>
            </w:tcBorders>
            <w:noWrap/>
          </w:tcPr>
          <w:p w14:paraId="66A9E4F4" w14:textId="77777777" w:rsidR="00AE5CB4" w:rsidRPr="00BA50D8" w:rsidRDefault="00AE5CB4" w:rsidP="00F66687">
            <w:pPr>
              <w:jc w:val="right"/>
              <w:rPr>
                <w:lang w:val="en-GB"/>
              </w:rPr>
            </w:pPr>
            <w:r>
              <w:rPr>
                <w:sz w:val="22"/>
                <w:szCs w:val="22"/>
                <w:lang w:val="en-GB"/>
              </w:rPr>
              <w:t>0.58-0.82</w:t>
            </w:r>
          </w:p>
        </w:tc>
        <w:tc>
          <w:tcPr>
            <w:tcW w:w="501" w:type="pct"/>
            <w:tcBorders>
              <w:bottom w:val="single" w:sz="4" w:space="0" w:color="auto"/>
            </w:tcBorders>
            <w:noWrap/>
          </w:tcPr>
          <w:p w14:paraId="66A9E4F5" w14:textId="77777777" w:rsidR="00AE5CB4" w:rsidRPr="00BA50D8" w:rsidRDefault="00AE5CB4" w:rsidP="00F66687">
            <w:pPr>
              <w:jc w:val="right"/>
              <w:rPr>
                <w:lang w:val="en-GB"/>
              </w:rPr>
            </w:pPr>
            <w:r>
              <w:rPr>
                <w:sz w:val="22"/>
                <w:szCs w:val="22"/>
                <w:lang w:val="en-GB"/>
              </w:rPr>
              <w:t>0.69-0.85</w:t>
            </w:r>
          </w:p>
        </w:tc>
        <w:tc>
          <w:tcPr>
            <w:tcW w:w="501" w:type="pct"/>
            <w:tcBorders>
              <w:bottom w:val="single" w:sz="4" w:space="0" w:color="auto"/>
            </w:tcBorders>
            <w:noWrap/>
          </w:tcPr>
          <w:p w14:paraId="66A9E4F6" w14:textId="77777777" w:rsidR="00AE5CB4" w:rsidRPr="00BA50D8" w:rsidRDefault="00AE5CB4" w:rsidP="00F66687">
            <w:pPr>
              <w:jc w:val="right"/>
              <w:rPr>
                <w:lang w:val="en-GB"/>
              </w:rPr>
            </w:pPr>
            <w:r>
              <w:rPr>
                <w:sz w:val="22"/>
                <w:szCs w:val="22"/>
                <w:lang w:val="en-GB"/>
              </w:rPr>
              <w:t>0.51-0.89</w:t>
            </w:r>
          </w:p>
        </w:tc>
        <w:tc>
          <w:tcPr>
            <w:tcW w:w="501" w:type="pct"/>
            <w:tcBorders>
              <w:bottom w:val="single" w:sz="4" w:space="0" w:color="auto"/>
            </w:tcBorders>
            <w:noWrap/>
          </w:tcPr>
          <w:p w14:paraId="66A9E4F7" w14:textId="77777777" w:rsidR="00AE5CB4" w:rsidRPr="00BA50D8" w:rsidRDefault="00AE5CB4" w:rsidP="00F66687">
            <w:pPr>
              <w:jc w:val="right"/>
              <w:rPr>
                <w:lang w:val="en-GB"/>
              </w:rPr>
            </w:pPr>
            <w:r>
              <w:rPr>
                <w:sz w:val="22"/>
                <w:szCs w:val="22"/>
                <w:lang w:val="en-GB"/>
              </w:rPr>
              <w:t>0.43-0.80</w:t>
            </w:r>
          </w:p>
        </w:tc>
      </w:tr>
    </w:tbl>
    <w:p w14:paraId="66A9E4F9" w14:textId="77777777" w:rsidR="00E86E14" w:rsidRPr="00262711" w:rsidRDefault="00C80DE1" w:rsidP="00C849D8">
      <w:pPr>
        <w:spacing w:line="480" w:lineRule="auto"/>
        <w:rPr>
          <w:lang w:val="en-GB"/>
        </w:rPr>
      </w:pPr>
      <w:r w:rsidRPr="00262711">
        <w:rPr>
          <w:sz w:val="16"/>
          <w:szCs w:val="16"/>
          <w:lang w:val="en-GB"/>
        </w:rPr>
        <w:br w:type="page"/>
      </w:r>
      <w:r w:rsidR="00961C6A" w:rsidRPr="00262711" w:rsidDel="00961C6A">
        <w:rPr>
          <w:lang w:val="en-GB"/>
        </w:rPr>
        <w:lastRenderedPageBreak/>
        <w:t xml:space="preserve"> </w:t>
      </w:r>
      <w:r w:rsidRPr="00262711">
        <w:rPr>
          <w:lang w:val="en-GB"/>
        </w:rPr>
        <w:t xml:space="preserve">Table </w:t>
      </w:r>
      <w:r w:rsidR="00D5209B" w:rsidRPr="00262711">
        <w:rPr>
          <w:lang w:val="en-GB"/>
        </w:rPr>
        <w:t>4</w:t>
      </w:r>
    </w:p>
    <w:p w14:paraId="66A9E4FA" w14:textId="77777777" w:rsidR="00C80DE1" w:rsidRPr="00262711" w:rsidRDefault="00C80DE1" w:rsidP="00DF14C0">
      <w:pPr>
        <w:spacing w:line="480" w:lineRule="auto"/>
        <w:ind w:left="540" w:hanging="720"/>
        <w:rPr>
          <w:i/>
          <w:iCs/>
          <w:lang w:val="en-GB"/>
        </w:rPr>
      </w:pPr>
      <w:r w:rsidRPr="00262711">
        <w:rPr>
          <w:i/>
          <w:iCs/>
          <w:lang w:val="en-GB"/>
        </w:rPr>
        <w:t>Correlations Between RST-PQ and Other Measures of Personality</w:t>
      </w:r>
    </w:p>
    <w:tbl>
      <w:tblPr>
        <w:tblW w:w="4924" w:type="pct"/>
        <w:tblLayout w:type="fixed"/>
        <w:tblLook w:val="01E0" w:firstRow="1" w:lastRow="1" w:firstColumn="1" w:lastColumn="1" w:noHBand="0" w:noVBand="0"/>
      </w:tblPr>
      <w:tblGrid>
        <w:gridCol w:w="2268"/>
        <w:gridCol w:w="938"/>
        <w:gridCol w:w="1108"/>
        <w:gridCol w:w="1108"/>
        <w:gridCol w:w="1181"/>
        <w:gridCol w:w="1225"/>
        <w:gridCol w:w="1104"/>
      </w:tblGrid>
      <w:tr w:rsidR="005D7B84" w:rsidRPr="00BA50D8" w14:paraId="66A9E4FC" w14:textId="77777777" w:rsidTr="00E905CB">
        <w:tc>
          <w:tcPr>
            <w:tcW w:w="5000" w:type="pct"/>
            <w:gridSpan w:val="7"/>
            <w:tcBorders>
              <w:top w:val="single" w:sz="12" w:space="0" w:color="auto"/>
              <w:bottom w:val="single" w:sz="4" w:space="0" w:color="auto"/>
            </w:tcBorders>
            <w:vAlign w:val="center"/>
          </w:tcPr>
          <w:p w14:paraId="66A9E4FB" w14:textId="77777777" w:rsidR="005D7B84" w:rsidRPr="00BA50D8" w:rsidRDefault="005D7B84" w:rsidP="00975F71">
            <w:pPr>
              <w:jc w:val="center"/>
              <w:rPr>
                <w:sz w:val="18"/>
                <w:szCs w:val="18"/>
                <w:lang w:val="en-GB"/>
              </w:rPr>
            </w:pPr>
            <w:r w:rsidRPr="00BA50D8">
              <w:rPr>
                <w:sz w:val="18"/>
                <w:szCs w:val="18"/>
                <w:lang w:val="en-GB"/>
              </w:rPr>
              <w:t>RST-PQ Factors</w:t>
            </w:r>
          </w:p>
        </w:tc>
      </w:tr>
      <w:tr w:rsidR="005D7B84" w:rsidRPr="00BA50D8" w14:paraId="66A9E504" w14:textId="77777777" w:rsidTr="00E905CB">
        <w:tc>
          <w:tcPr>
            <w:tcW w:w="1270" w:type="pct"/>
            <w:tcBorders>
              <w:top w:val="single" w:sz="4" w:space="0" w:color="auto"/>
              <w:bottom w:val="single" w:sz="4" w:space="0" w:color="auto"/>
            </w:tcBorders>
            <w:vAlign w:val="center"/>
          </w:tcPr>
          <w:p w14:paraId="66A9E4FD" w14:textId="77777777" w:rsidR="005D7B84" w:rsidRPr="00BA50D8" w:rsidRDefault="005D7B84" w:rsidP="00975F71">
            <w:pPr>
              <w:ind w:left="-108"/>
              <w:rPr>
                <w:sz w:val="18"/>
                <w:szCs w:val="18"/>
                <w:lang w:val="en-GB"/>
              </w:rPr>
            </w:pPr>
            <w:r w:rsidRPr="00BA50D8">
              <w:rPr>
                <w:sz w:val="18"/>
                <w:szCs w:val="18"/>
                <w:lang w:val="en-GB"/>
              </w:rPr>
              <w:t>Personality:</w:t>
            </w:r>
          </w:p>
        </w:tc>
        <w:tc>
          <w:tcPr>
            <w:tcW w:w="525" w:type="pct"/>
            <w:tcBorders>
              <w:top w:val="single" w:sz="4" w:space="0" w:color="auto"/>
              <w:bottom w:val="single" w:sz="4" w:space="0" w:color="auto"/>
            </w:tcBorders>
            <w:vAlign w:val="center"/>
          </w:tcPr>
          <w:p w14:paraId="66A9E4FE" w14:textId="77777777" w:rsidR="005D7B84" w:rsidRPr="00BA50D8" w:rsidRDefault="005D7B84" w:rsidP="00975F71">
            <w:pPr>
              <w:tabs>
                <w:tab w:val="decimal" w:pos="705"/>
              </w:tabs>
              <w:jc w:val="right"/>
              <w:rPr>
                <w:sz w:val="18"/>
                <w:szCs w:val="18"/>
                <w:lang w:val="en-GB"/>
              </w:rPr>
            </w:pPr>
            <w:r w:rsidRPr="00BA50D8">
              <w:rPr>
                <w:sz w:val="18"/>
                <w:szCs w:val="18"/>
                <w:lang w:val="en-GB"/>
              </w:rPr>
              <w:t>FFFS</w:t>
            </w:r>
          </w:p>
        </w:tc>
        <w:tc>
          <w:tcPr>
            <w:tcW w:w="620" w:type="pct"/>
            <w:tcBorders>
              <w:top w:val="single" w:sz="4" w:space="0" w:color="auto"/>
              <w:bottom w:val="single" w:sz="4" w:space="0" w:color="auto"/>
            </w:tcBorders>
            <w:vAlign w:val="center"/>
          </w:tcPr>
          <w:p w14:paraId="66A9E4FF" w14:textId="77777777" w:rsidR="005D7B84" w:rsidRPr="00BA50D8" w:rsidRDefault="005D7B84" w:rsidP="00975F71">
            <w:pPr>
              <w:tabs>
                <w:tab w:val="decimal" w:pos="690"/>
              </w:tabs>
              <w:jc w:val="right"/>
              <w:rPr>
                <w:sz w:val="18"/>
                <w:szCs w:val="18"/>
                <w:lang w:val="en-GB"/>
              </w:rPr>
            </w:pPr>
            <w:r w:rsidRPr="00BA50D8">
              <w:rPr>
                <w:sz w:val="18"/>
                <w:szCs w:val="18"/>
                <w:lang w:val="en-GB"/>
              </w:rPr>
              <w:t>BIS</w:t>
            </w:r>
          </w:p>
        </w:tc>
        <w:tc>
          <w:tcPr>
            <w:tcW w:w="620" w:type="pct"/>
            <w:tcBorders>
              <w:top w:val="single" w:sz="4" w:space="0" w:color="auto"/>
              <w:bottom w:val="single" w:sz="4" w:space="0" w:color="auto"/>
            </w:tcBorders>
            <w:vAlign w:val="center"/>
          </w:tcPr>
          <w:p w14:paraId="66A9E500" w14:textId="77777777" w:rsidR="005D7B84" w:rsidRPr="00BA50D8" w:rsidRDefault="005D7B84" w:rsidP="00975F71">
            <w:pPr>
              <w:tabs>
                <w:tab w:val="decimal" w:pos="618"/>
              </w:tabs>
              <w:jc w:val="right"/>
              <w:rPr>
                <w:sz w:val="18"/>
                <w:szCs w:val="18"/>
                <w:lang w:val="en-GB"/>
              </w:rPr>
            </w:pPr>
            <w:r w:rsidRPr="00BA50D8">
              <w:rPr>
                <w:sz w:val="18"/>
                <w:szCs w:val="18"/>
                <w:lang w:val="en-GB"/>
              </w:rPr>
              <w:t>BAS-RI</w:t>
            </w:r>
          </w:p>
        </w:tc>
        <w:tc>
          <w:tcPr>
            <w:tcW w:w="661" w:type="pct"/>
            <w:tcBorders>
              <w:top w:val="single" w:sz="4" w:space="0" w:color="auto"/>
              <w:bottom w:val="single" w:sz="4" w:space="0" w:color="auto"/>
            </w:tcBorders>
            <w:vAlign w:val="center"/>
          </w:tcPr>
          <w:p w14:paraId="66A9E501" w14:textId="77777777" w:rsidR="005D7B84" w:rsidRPr="00BA50D8" w:rsidRDefault="005D7B84" w:rsidP="00975F71">
            <w:pPr>
              <w:tabs>
                <w:tab w:val="decimal" w:pos="690"/>
              </w:tabs>
              <w:jc w:val="right"/>
              <w:rPr>
                <w:sz w:val="18"/>
                <w:szCs w:val="18"/>
                <w:lang w:val="en-GB"/>
              </w:rPr>
            </w:pPr>
            <w:r w:rsidRPr="00BA50D8">
              <w:rPr>
                <w:sz w:val="18"/>
                <w:szCs w:val="18"/>
                <w:lang w:val="en-GB"/>
              </w:rPr>
              <w:t>BAS-GDP</w:t>
            </w:r>
          </w:p>
        </w:tc>
        <w:tc>
          <w:tcPr>
            <w:tcW w:w="686" w:type="pct"/>
            <w:tcBorders>
              <w:top w:val="single" w:sz="4" w:space="0" w:color="auto"/>
              <w:bottom w:val="single" w:sz="4" w:space="0" w:color="auto"/>
            </w:tcBorders>
            <w:vAlign w:val="center"/>
          </w:tcPr>
          <w:p w14:paraId="66A9E502" w14:textId="77777777" w:rsidR="005D7B84" w:rsidRPr="00BA50D8" w:rsidRDefault="005D7B84" w:rsidP="00975F71">
            <w:pPr>
              <w:tabs>
                <w:tab w:val="decimal" w:pos="735"/>
              </w:tabs>
              <w:jc w:val="right"/>
              <w:rPr>
                <w:sz w:val="18"/>
                <w:szCs w:val="18"/>
                <w:lang w:val="en-GB"/>
              </w:rPr>
            </w:pPr>
            <w:r w:rsidRPr="00BA50D8">
              <w:rPr>
                <w:sz w:val="18"/>
                <w:szCs w:val="18"/>
                <w:lang w:val="en-GB"/>
              </w:rPr>
              <w:t>BAS-RR</w:t>
            </w:r>
          </w:p>
        </w:tc>
        <w:tc>
          <w:tcPr>
            <w:tcW w:w="618" w:type="pct"/>
            <w:tcBorders>
              <w:top w:val="single" w:sz="4" w:space="0" w:color="auto"/>
              <w:bottom w:val="single" w:sz="4" w:space="0" w:color="auto"/>
            </w:tcBorders>
            <w:vAlign w:val="center"/>
          </w:tcPr>
          <w:p w14:paraId="66A9E503" w14:textId="77777777" w:rsidR="005D7B84" w:rsidRPr="00BA50D8" w:rsidRDefault="005D7B84" w:rsidP="00975F71">
            <w:pPr>
              <w:tabs>
                <w:tab w:val="decimal" w:pos="585"/>
              </w:tabs>
              <w:jc w:val="right"/>
              <w:rPr>
                <w:sz w:val="18"/>
                <w:szCs w:val="18"/>
                <w:lang w:val="en-GB"/>
              </w:rPr>
            </w:pPr>
            <w:r w:rsidRPr="00BA50D8">
              <w:rPr>
                <w:sz w:val="18"/>
                <w:szCs w:val="18"/>
                <w:lang w:val="en-GB"/>
              </w:rPr>
              <w:t>BAS-Imp</w:t>
            </w:r>
          </w:p>
        </w:tc>
      </w:tr>
      <w:tr w:rsidR="005D7B84" w:rsidRPr="00BA50D8" w14:paraId="66A9E50C" w14:textId="77777777" w:rsidTr="00E905CB">
        <w:tc>
          <w:tcPr>
            <w:tcW w:w="1270" w:type="pct"/>
            <w:tcBorders>
              <w:top w:val="single" w:sz="4" w:space="0" w:color="auto"/>
            </w:tcBorders>
            <w:vAlign w:val="center"/>
          </w:tcPr>
          <w:p w14:paraId="66A9E505" w14:textId="77777777" w:rsidR="005D7B84" w:rsidRPr="00BA50D8" w:rsidRDefault="00BA50D8" w:rsidP="00975F71">
            <w:pPr>
              <w:ind w:left="-108"/>
              <w:rPr>
                <w:sz w:val="18"/>
                <w:szCs w:val="18"/>
                <w:lang w:val="en-GB"/>
              </w:rPr>
            </w:pPr>
            <w:r w:rsidRPr="00BA50D8">
              <w:rPr>
                <w:sz w:val="18"/>
                <w:szCs w:val="18"/>
                <w:lang w:val="en-GB"/>
              </w:rPr>
              <w:t>BIS-11:</w:t>
            </w:r>
          </w:p>
        </w:tc>
        <w:tc>
          <w:tcPr>
            <w:tcW w:w="525" w:type="pct"/>
            <w:tcBorders>
              <w:top w:val="single" w:sz="4" w:space="0" w:color="auto"/>
            </w:tcBorders>
            <w:vAlign w:val="center"/>
          </w:tcPr>
          <w:p w14:paraId="66A9E506" w14:textId="77777777" w:rsidR="005D7B84" w:rsidRPr="00BA50D8" w:rsidRDefault="005D7B84" w:rsidP="00975F71">
            <w:pPr>
              <w:tabs>
                <w:tab w:val="decimal" w:pos="705"/>
              </w:tabs>
              <w:rPr>
                <w:sz w:val="18"/>
                <w:szCs w:val="18"/>
                <w:lang w:val="en-GB"/>
              </w:rPr>
            </w:pPr>
          </w:p>
        </w:tc>
        <w:tc>
          <w:tcPr>
            <w:tcW w:w="620" w:type="pct"/>
            <w:tcBorders>
              <w:top w:val="single" w:sz="4" w:space="0" w:color="auto"/>
            </w:tcBorders>
            <w:vAlign w:val="center"/>
          </w:tcPr>
          <w:p w14:paraId="66A9E507" w14:textId="77777777" w:rsidR="005D7B84" w:rsidRPr="00BA50D8" w:rsidRDefault="005D7B84" w:rsidP="00975F71">
            <w:pPr>
              <w:tabs>
                <w:tab w:val="decimal" w:pos="690"/>
              </w:tabs>
              <w:rPr>
                <w:sz w:val="18"/>
                <w:szCs w:val="18"/>
                <w:lang w:val="en-GB"/>
              </w:rPr>
            </w:pPr>
          </w:p>
        </w:tc>
        <w:tc>
          <w:tcPr>
            <w:tcW w:w="620" w:type="pct"/>
            <w:tcBorders>
              <w:top w:val="single" w:sz="4" w:space="0" w:color="auto"/>
            </w:tcBorders>
            <w:vAlign w:val="center"/>
          </w:tcPr>
          <w:p w14:paraId="66A9E508" w14:textId="77777777" w:rsidR="005D7B84" w:rsidRPr="00BA50D8" w:rsidRDefault="005D7B84" w:rsidP="00975F71">
            <w:pPr>
              <w:tabs>
                <w:tab w:val="decimal" w:pos="618"/>
              </w:tabs>
              <w:rPr>
                <w:sz w:val="18"/>
                <w:szCs w:val="18"/>
                <w:lang w:val="en-GB"/>
              </w:rPr>
            </w:pPr>
          </w:p>
        </w:tc>
        <w:tc>
          <w:tcPr>
            <w:tcW w:w="661" w:type="pct"/>
            <w:tcBorders>
              <w:top w:val="single" w:sz="4" w:space="0" w:color="auto"/>
            </w:tcBorders>
            <w:vAlign w:val="center"/>
          </w:tcPr>
          <w:p w14:paraId="66A9E509" w14:textId="77777777" w:rsidR="005D7B84" w:rsidRPr="00BA50D8" w:rsidRDefault="005D7B84" w:rsidP="00975F71">
            <w:pPr>
              <w:tabs>
                <w:tab w:val="decimal" w:pos="690"/>
              </w:tabs>
              <w:ind w:right="95"/>
              <w:rPr>
                <w:sz w:val="18"/>
                <w:szCs w:val="18"/>
                <w:lang w:val="en-GB"/>
              </w:rPr>
            </w:pPr>
          </w:p>
        </w:tc>
        <w:tc>
          <w:tcPr>
            <w:tcW w:w="686" w:type="pct"/>
            <w:tcBorders>
              <w:top w:val="single" w:sz="4" w:space="0" w:color="auto"/>
            </w:tcBorders>
            <w:vAlign w:val="center"/>
          </w:tcPr>
          <w:p w14:paraId="66A9E50A" w14:textId="77777777" w:rsidR="005D7B84" w:rsidRPr="00BA50D8" w:rsidRDefault="005D7B84" w:rsidP="00975F71">
            <w:pPr>
              <w:tabs>
                <w:tab w:val="decimal" w:pos="735"/>
              </w:tabs>
              <w:ind w:right="95"/>
              <w:rPr>
                <w:sz w:val="18"/>
                <w:szCs w:val="18"/>
                <w:lang w:val="en-GB"/>
              </w:rPr>
            </w:pPr>
          </w:p>
        </w:tc>
        <w:tc>
          <w:tcPr>
            <w:tcW w:w="618" w:type="pct"/>
            <w:tcBorders>
              <w:top w:val="single" w:sz="4" w:space="0" w:color="auto"/>
            </w:tcBorders>
            <w:vAlign w:val="center"/>
          </w:tcPr>
          <w:p w14:paraId="66A9E50B" w14:textId="77777777" w:rsidR="005D7B84" w:rsidRPr="00BA50D8" w:rsidRDefault="005D7B84" w:rsidP="00975F71">
            <w:pPr>
              <w:tabs>
                <w:tab w:val="decimal" w:pos="585"/>
              </w:tabs>
              <w:ind w:right="95"/>
              <w:rPr>
                <w:sz w:val="18"/>
                <w:szCs w:val="18"/>
                <w:lang w:val="en-GB"/>
              </w:rPr>
            </w:pPr>
          </w:p>
        </w:tc>
      </w:tr>
      <w:tr w:rsidR="005D7B84" w:rsidRPr="00BA50D8" w14:paraId="66A9E514" w14:textId="77777777" w:rsidTr="00E905CB">
        <w:trPr>
          <w:trHeight w:val="183"/>
        </w:trPr>
        <w:tc>
          <w:tcPr>
            <w:tcW w:w="1270" w:type="pct"/>
            <w:vAlign w:val="center"/>
          </w:tcPr>
          <w:p w14:paraId="66A9E50D" w14:textId="77777777" w:rsidR="005D7B84" w:rsidRPr="00BA50D8" w:rsidRDefault="005D7B84" w:rsidP="00975F71">
            <w:pPr>
              <w:ind w:left="612" w:hanging="180"/>
              <w:rPr>
                <w:sz w:val="18"/>
                <w:szCs w:val="18"/>
                <w:lang w:val="en-GB"/>
              </w:rPr>
            </w:pPr>
            <w:r w:rsidRPr="00BA50D8">
              <w:rPr>
                <w:sz w:val="18"/>
                <w:szCs w:val="18"/>
                <w:lang w:val="en-GB"/>
              </w:rPr>
              <w:t>Impulsivity</w:t>
            </w:r>
          </w:p>
        </w:tc>
        <w:tc>
          <w:tcPr>
            <w:tcW w:w="525" w:type="pct"/>
            <w:vAlign w:val="center"/>
          </w:tcPr>
          <w:p w14:paraId="66A9E50E" w14:textId="77777777" w:rsidR="005D7B84" w:rsidRPr="00BA50D8" w:rsidRDefault="005D7B84" w:rsidP="00975F71">
            <w:pPr>
              <w:tabs>
                <w:tab w:val="decimal" w:pos="705"/>
              </w:tabs>
              <w:rPr>
                <w:sz w:val="18"/>
                <w:szCs w:val="18"/>
                <w:lang w:val="en-GB"/>
              </w:rPr>
            </w:pPr>
            <w:r w:rsidRPr="00BA50D8">
              <w:rPr>
                <w:sz w:val="18"/>
                <w:szCs w:val="18"/>
                <w:lang w:val="en-GB"/>
              </w:rPr>
              <w:t>.15</w:t>
            </w:r>
            <w:r w:rsidRPr="00BA50D8">
              <w:rPr>
                <w:sz w:val="18"/>
                <w:szCs w:val="18"/>
                <w:vertAlign w:val="superscript"/>
                <w:lang w:val="en-GB"/>
              </w:rPr>
              <w:t>**</w:t>
            </w:r>
          </w:p>
        </w:tc>
        <w:tc>
          <w:tcPr>
            <w:tcW w:w="620" w:type="pct"/>
            <w:vAlign w:val="center"/>
          </w:tcPr>
          <w:p w14:paraId="66A9E50F" w14:textId="77777777" w:rsidR="005D7B84" w:rsidRPr="00BA50D8" w:rsidRDefault="005D7B84" w:rsidP="00975F71">
            <w:pPr>
              <w:tabs>
                <w:tab w:val="decimal" w:pos="690"/>
              </w:tabs>
              <w:rPr>
                <w:sz w:val="18"/>
                <w:szCs w:val="18"/>
                <w:lang w:val="en-GB"/>
              </w:rPr>
            </w:pPr>
            <w:r w:rsidRPr="00BA50D8">
              <w:rPr>
                <w:sz w:val="18"/>
                <w:szCs w:val="18"/>
                <w:lang w:val="en-GB"/>
              </w:rPr>
              <w:t>.24</w:t>
            </w:r>
            <w:r w:rsidRPr="00BA50D8">
              <w:rPr>
                <w:sz w:val="18"/>
                <w:szCs w:val="18"/>
                <w:vertAlign w:val="superscript"/>
                <w:lang w:val="en-GB"/>
              </w:rPr>
              <w:t>***</w:t>
            </w:r>
          </w:p>
        </w:tc>
        <w:tc>
          <w:tcPr>
            <w:tcW w:w="620" w:type="pct"/>
            <w:vAlign w:val="center"/>
          </w:tcPr>
          <w:p w14:paraId="66A9E510" w14:textId="77777777" w:rsidR="005D7B84" w:rsidRPr="00BA50D8" w:rsidRDefault="005D7B84" w:rsidP="00975F71">
            <w:pPr>
              <w:tabs>
                <w:tab w:val="decimal" w:pos="618"/>
              </w:tabs>
              <w:rPr>
                <w:sz w:val="18"/>
                <w:szCs w:val="18"/>
                <w:lang w:val="en-GB"/>
              </w:rPr>
            </w:pPr>
            <w:r w:rsidRPr="00BA50D8">
              <w:rPr>
                <w:sz w:val="18"/>
                <w:szCs w:val="18"/>
                <w:lang w:val="en-GB"/>
              </w:rPr>
              <w:t>.10</w:t>
            </w:r>
            <w:r w:rsidRPr="00BA50D8">
              <w:rPr>
                <w:sz w:val="18"/>
                <w:szCs w:val="18"/>
                <w:vertAlign w:val="superscript"/>
                <w:lang w:val="en-GB"/>
              </w:rPr>
              <w:t>*</w:t>
            </w:r>
          </w:p>
        </w:tc>
        <w:tc>
          <w:tcPr>
            <w:tcW w:w="661" w:type="pct"/>
            <w:vAlign w:val="center"/>
          </w:tcPr>
          <w:p w14:paraId="66A9E511" w14:textId="77777777" w:rsidR="005D7B84" w:rsidRPr="00BA50D8" w:rsidRDefault="005D7B84" w:rsidP="00975F71">
            <w:pPr>
              <w:tabs>
                <w:tab w:val="decimal" w:pos="690"/>
              </w:tabs>
              <w:ind w:right="95"/>
              <w:rPr>
                <w:sz w:val="18"/>
                <w:szCs w:val="18"/>
                <w:lang w:val="en-GB"/>
              </w:rPr>
            </w:pPr>
            <w:r w:rsidRPr="00BA50D8">
              <w:rPr>
                <w:sz w:val="18"/>
                <w:szCs w:val="18"/>
                <w:lang w:val="en-GB"/>
              </w:rPr>
              <w:t>-.37</w:t>
            </w:r>
            <w:r w:rsidRPr="00BA50D8">
              <w:rPr>
                <w:sz w:val="18"/>
                <w:szCs w:val="18"/>
                <w:vertAlign w:val="superscript"/>
                <w:lang w:val="en-GB"/>
              </w:rPr>
              <w:t>***</w:t>
            </w:r>
          </w:p>
        </w:tc>
        <w:tc>
          <w:tcPr>
            <w:tcW w:w="686" w:type="pct"/>
            <w:vAlign w:val="center"/>
          </w:tcPr>
          <w:p w14:paraId="66A9E512" w14:textId="77777777" w:rsidR="005D7B84" w:rsidRPr="00BA50D8" w:rsidRDefault="005D7B84" w:rsidP="00975F71">
            <w:pPr>
              <w:tabs>
                <w:tab w:val="decimal" w:pos="735"/>
              </w:tabs>
              <w:ind w:right="95"/>
              <w:rPr>
                <w:sz w:val="18"/>
                <w:szCs w:val="18"/>
                <w:lang w:val="en-GB"/>
              </w:rPr>
            </w:pPr>
            <w:r w:rsidRPr="00BA50D8">
              <w:rPr>
                <w:sz w:val="18"/>
                <w:szCs w:val="18"/>
                <w:lang w:val="en-GB"/>
              </w:rPr>
              <w:t>.20</w:t>
            </w:r>
            <w:r w:rsidRPr="00BA50D8">
              <w:rPr>
                <w:sz w:val="18"/>
                <w:szCs w:val="18"/>
                <w:vertAlign w:val="superscript"/>
                <w:lang w:val="en-GB"/>
              </w:rPr>
              <w:t>***</w:t>
            </w:r>
          </w:p>
        </w:tc>
        <w:tc>
          <w:tcPr>
            <w:tcW w:w="618" w:type="pct"/>
            <w:vAlign w:val="center"/>
          </w:tcPr>
          <w:p w14:paraId="66A9E513" w14:textId="77777777" w:rsidR="005D7B84" w:rsidRPr="00BA50D8" w:rsidRDefault="005D7B84" w:rsidP="00975F71">
            <w:pPr>
              <w:tabs>
                <w:tab w:val="decimal" w:pos="585"/>
              </w:tabs>
              <w:ind w:right="95"/>
              <w:rPr>
                <w:sz w:val="18"/>
                <w:szCs w:val="18"/>
                <w:lang w:val="en-GB"/>
              </w:rPr>
            </w:pPr>
            <w:r w:rsidRPr="00BA50D8">
              <w:rPr>
                <w:sz w:val="18"/>
                <w:szCs w:val="18"/>
                <w:lang w:val="en-GB"/>
              </w:rPr>
              <w:t>.60</w:t>
            </w:r>
            <w:r w:rsidRPr="00BA50D8">
              <w:rPr>
                <w:sz w:val="18"/>
                <w:szCs w:val="18"/>
                <w:vertAlign w:val="superscript"/>
                <w:lang w:val="en-GB"/>
              </w:rPr>
              <w:t>***</w:t>
            </w:r>
          </w:p>
        </w:tc>
      </w:tr>
      <w:tr w:rsidR="005D7B84" w:rsidRPr="00BA50D8" w14:paraId="66A9E51C" w14:textId="77777777" w:rsidTr="00E905CB">
        <w:tc>
          <w:tcPr>
            <w:tcW w:w="1270" w:type="pct"/>
            <w:vAlign w:val="center"/>
          </w:tcPr>
          <w:p w14:paraId="66A9E515" w14:textId="77777777" w:rsidR="005D7B84" w:rsidRPr="00BA50D8" w:rsidRDefault="005D7B84" w:rsidP="00975F71">
            <w:pPr>
              <w:ind w:hanging="108"/>
              <w:rPr>
                <w:sz w:val="18"/>
                <w:szCs w:val="18"/>
                <w:lang w:val="en-GB"/>
              </w:rPr>
            </w:pPr>
            <w:r w:rsidRPr="00BA50D8">
              <w:rPr>
                <w:sz w:val="18"/>
                <w:szCs w:val="18"/>
                <w:lang w:val="en-GB"/>
              </w:rPr>
              <w:t>Five-Factor Model:</w:t>
            </w:r>
          </w:p>
        </w:tc>
        <w:tc>
          <w:tcPr>
            <w:tcW w:w="525" w:type="pct"/>
            <w:vAlign w:val="center"/>
          </w:tcPr>
          <w:p w14:paraId="66A9E516" w14:textId="77777777" w:rsidR="005D7B84" w:rsidRPr="00BA50D8" w:rsidRDefault="005D7B84" w:rsidP="00975F71">
            <w:pPr>
              <w:tabs>
                <w:tab w:val="decimal" w:pos="705"/>
              </w:tabs>
              <w:rPr>
                <w:sz w:val="18"/>
                <w:szCs w:val="18"/>
                <w:lang w:val="en-GB"/>
              </w:rPr>
            </w:pPr>
          </w:p>
        </w:tc>
        <w:tc>
          <w:tcPr>
            <w:tcW w:w="620" w:type="pct"/>
            <w:vAlign w:val="center"/>
          </w:tcPr>
          <w:p w14:paraId="66A9E517" w14:textId="77777777" w:rsidR="005D7B84" w:rsidRPr="00BA50D8" w:rsidRDefault="005D7B84" w:rsidP="00975F71">
            <w:pPr>
              <w:tabs>
                <w:tab w:val="decimal" w:pos="690"/>
              </w:tabs>
              <w:rPr>
                <w:sz w:val="18"/>
                <w:szCs w:val="18"/>
                <w:lang w:val="en-GB"/>
              </w:rPr>
            </w:pPr>
          </w:p>
        </w:tc>
        <w:tc>
          <w:tcPr>
            <w:tcW w:w="620" w:type="pct"/>
            <w:vAlign w:val="center"/>
          </w:tcPr>
          <w:p w14:paraId="66A9E518" w14:textId="77777777" w:rsidR="005D7B84" w:rsidRPr="00BA50D8" w:rsidRDefault="005D7B84" w:rsidP="00975F71">
            <w:pPr>
              <w:tabs>
                <w:tab w:val="decimal" w:pos="618"/>
              </w:tabs>
              <w:rPr>
                <w:sz w:val="18"/>
                <w:szCs w:val="18"/>
                <w:lang w:val="en-GB"/>
              </w:rPr>
            </w:pPr>
          </w:p>
        </w:tc>
        <w:tc>
          <w:tcPr>
            <w:tcW w:w="661" w:type="pct"/>
            <w:vAlign w:val="center"/>
          </w:tcPr>
          <w:p w14:paraId="66A9E519" w14:textId="77777777" w:rsidR="005D7B84" w:rsidRPr="00BA50D8" w:rsidRDefault="005D7B84" w:rsidP="00975F71">
            <w:pPr>
              <w:tabs>
                <w:tab w:val="decimal" w:pos="690"/>
              </w:tabs>
              <w:ind w:right="95"/>
              <w:rPr>
                <w:sz w:val="18"/>
                <w:szCs w:val="18"/>
                <w:lang w:val="en-GB"/>
              </w:rPr>
            </w:pPr>
          </w:p>
        </w:tc>
        <w:tc>
          <w:tcPr>
            <w:tcW w:w="686" w:type="pct"/>
            <w:vAlign w:val="center"/>
          </w:tcPr>
          <w:p w14:paraId="66A9E51A" w14:textId="77777777" w:rsidR="005D7B84" w:rsidRPr="00BA50D8" w:rsidRDefault="005D7B84" w:rsidP="00975F71">
            <w:pPr>
              <w:tabs>
                <w:tab w:val="decimal" w:pos="735"/>
              </w:tabs>
              <w:ind w:right="95"/>
              <w:rPr>
                <w:sz w:val="18"/>
                <w:szCs w:val="18"/>
                <w:lang w:val="en-GB"/>
              </w:rPr>
            </w:pPr>
          </w:p>
        </w:tc>
        <w:tc>
          <w:tcPr>
            <w:tcW w:w="618" w:type="pct"/>
            <w:vAlign w:val="center"/>
          </w:tcPr>
          <w:p w14:paraId="66A9E51B" w14:textId="77777777" w:rsidR="005D7B84" w:rsidRPr="00BA50D8" w:rsidRDefault="005D7B84" w:rsidP="00975F71">
            <w:pPr>
              <w:tabs>
                <w:tab w:val="decimal" w:pos="585"/>
              </w:tabs>
              <w:ind w:right="95"/>
              <w:rPr>
                <w:sz w:val="18"/>
                <w:szCs w:val="18"/>
                <w:lang w:val="en-GB"/>
              </w:rPr>
            </w:pPr>
          </w:p>
        </w:tc>
      </w:tr>
      <w:tr w:rsidR="005D7B84" w:rsidRPr="00BA50D8" w14:paraId="66A9E524" w14:textId="77777777" w:rsidTr="00E905CB">
        <w:tc>
          <w:tcPr>
            <w:tcW w:w="1270" w:type="pct"/>
            <w:vAlign w:val="center"/>
          </w:tcPr>
          <w:p w14:paraId="66A9E51D" w14:textId="77777777" w:rsidR="005D7B84" w:rsidRPr="00BA50D8" w:rsidRDefault="005D7B84" w:rsidP="00975F71">
            <w:pPr>
              <w:ind w:firstLine="432"/>
              <w:rPr>
                <w:sz w:val="18"/>
                <w:szCs w:val="18"/>
                <w:lang w:val="en-GB"/>
              </w:rPr>
            </w:pPr>
            <w:r w:rsidRPr="00BA50D8">
              <w:rPr>
                <w:sz w:val="18"/>
                <w:szCs w:val="18"/>
                <w:lang w:val="en-GB"/>
              </w:rPr>
              <w:t>Openness</w:t>
            </w:r>
          </w:p>
        </w:tc>
        <w:tc>
          <w:tcPr>
            <w:tcW w:w="525" w:type="pct"/>
            <w:vAlign w:val="center"/>
          </w:tcPr>
          <w:p w14:paraId="66A9E51E" w14:textId="77777777" w:rsidR="005D7B84" w:rsidRPr="00BA50D8" w:rsidRDefault="005D7B84" w:rsidP="00975F71">
            <w:pPr>
              <w:tabs>
                <w:tab w:val="decimal" w:pos="705"/>
              </w:tabs>
              <w:rPr>
                <w:sz w:val="18"/>
                <w:szCs w:val="18"/>
                <w:lang w:val="en-GB"/>
              </w:rPr>
            </w:pPr>
            <w:r w:rsidRPr="00BA50D8">
              <w:rPr>
                <w:sz w:val="18"/>
                <w:szCs w:val="18"/>
                <w:lang w:val="en-GB"/>
              </w:rPr>
              <w:t>-.11</w:t>
            </w:r>
            <w:r w:rsidRPr="00BA50D8">
              <w:rPr>
                <w:sz w:val="18"/>
                <w:szCs w:val="18"/>
                <w:vertAlign w:val="superscript"/>
                <w:lang w:val="en-GB"/>
              </w:rPr>
              <w:t>**</w:t>
            </w:r>
          </w:p>
        </w:tc>
        <w:tc>
          <w:tcPr>
            <w:tcW w:w="620" w:type="pct"/>
            <w:vAlign w:val="center"/>
          </w:tcPr>
          <w:p w14:paraId="66A9E51F" w14:textId="77777777" w:rsidR="005D7B84" w:rsidRPr="00BA50D8" w:rsidRDefault="005D7B84" w:rsidP="00975F71">
            <w:pPr>
              <w:tabs>
                <w:tab w:val="decimal" w:pos="690"/>
              </w:tabs>
              <w:rPr>
                <w:sz w:val="18"/>
                <w:szCs w:val="18"/>
                <w:vertAlign w:val="superscript"/>
                <w:lang w:val="en-GB"/>
              </w:rPr>
            </w:pPr>
            <w:r w:rsidRPr="00BA50D8">
              <w:rPr>
                <w:sz w:val="18"/>
                <w:szCs w:val="18"/>
                <w:lang w:val="en-GB"/>
              </w:rPr>
              <w:t>.12</w:t>
            </w:r>
            <w:r w:rsidRPr="00BA50D8">
              <w:rPr>
                <w:sz w:val="18"/>
                <w:szCs w:val="18"/>
                <w:vertAlign w:val="superscript"/>
                <w:lang w:val="en-GB"/>
              </w:rPr>
              <w:t>**</w:t>
            </w:r>
          </w:p>
        </w:tc>
        <w:tc>
          <w:tcPr>
            <w:tcW w:w="620" w:type="pct"/>
            <w:vAlign w:val="center"/>
          </w:tcPr>
          <w:p w14:paraId="66A9E520" w14:textId="77777777" w:rsidR="005D7B84" w:rsidRPr="00BA50D8" w:rsidRDefault="005D7B84" w:rsidP="00975F71">
            <w:pPr>
              <w:tabs>
                <w:tab w:val="decimal" w:pos="618"/>
              </w:tabs>
              <w:rPr>
                <w:sz w:val="18"/>
                <w:szCs w:val="18"/>
                <w:lang w:val="en-GB"/>
              </w:rPr>
            </w:pPr>
            <w:r w:rsidRPr="00BA50D8">
              <w:rPr>
                <w:sz w:val="18"/>
                <w:szCs w:val="18"/>
                <w:lang w:val="en-GB"/>
              </w:rPr>
              <w:t>.20</w:t>
            </w:r>
            <w:r w:rsidRPr="00BA50D8">
              <w:rPr>
                <w:sz w:val="18"/>
                <w:szCs w:val="18"/>
                <w:vertAlign w:val="superscript"/>
                <w:lang w:val="en-GB"/>
              </w:rPr>
              <w:t>***</w:t>
            </w:r>
          </w:p>
        </w:tc>
        <w:tc>
          <w:tcPr>
            <w:tcW w:w="661" w:type="pct"/>
            <w:vAlign w:val="center"/>
          </w:tcPr>
          <w:p w14:paraId="66A9E521" w14:textId="77777777" w:rsidR="005D7B84" w:rsidRPr="00BA50D8" w:rsidRDefault="005D7B84" w:rsidP="00975F71">
            <w:pPr>
              <w:tabs>
                <w:tab w:val="decimal" w:pos="690"/>
              </w:tabs>
              <w:ind w:right="95"/>
              <w:rPr>
                <w:sz w:val="18"/>
                <w:szCs w:val="18"/>
                <w:lang w:val="en-GB"/>
              </w:rPr>
            </w:pPr>
            <w:r w:rsidRPr="00BA50D8">
              <w:rPr>
                <w:sz w:val="18"/>
                <w:szCs w:val="18"/>
                <w:lang w:val="en-GB"/>
              </w:rPr>
              <w:t>.07</w:t>
            </w:r>
          </w:p>
        </w:tc>
        <w:tc>
          <w:tcPr>
            <w:tcW w:w="686" w:type="pct"/>
            <w:vAlign w:val="center"/>
          </w:tcPr>
          <w:p w14:paraId="66A9E522" w14:textId="77777777" w:rsidR="005D7B84" w:rsidRPr="00BA50D8" w:rsidRDefault="005D7B84" w:rsidP="00975F71">
            <w:pPr>
              <w:tabs>
                <w:tab w:val="decimal" w:pos="735"/>
              </w:tabs>
              <w:ind w:right="95"/>
              <w:rPr>
                <w:sz w:val="18"/>
                <w:szCs w:val="18"/>
                <w:lang w:val="en-GB"/>
              </w:rPr>
            </w:pPr>
            <w:r w:rsidRPr="00BA50D8">
              <w:rPr>
                <w:sz w:val="18"/>
                <w:szCs w:val="18"/>
                <w:lang w:val="en-GB"/>
              </w:rPr>
              <w:t>.08</w:t>
            </w:r>
          </w:p>
        </w:tc>
        <w:tc>
          <w:tcPr>
            <w:tcW w:w="618" w:type="pct"/>
            <w:vAlign w:val="center"/>
          </w:tcPr>
          <w:p w14:paraId="66A9E523" w14:textId="77777777" w:rsidR="005D7B84" w:rsidRPr="00BA50D8" w:rsidRDefault="005D7B84" w:rsidP="00975F71">
            <w:pPr>
              <w:tabs>
                <w:tab w:val="decimal" w:pos="585"/>
              </w:tabs>
              <w:ind w:right="95"/>
              <w:rPr>
                <w:sz w:val="18"/>
                <w:szCs w:val="18"/>
                <w:lang w:val="en-GB"/>
              </w:rPr>
            </w:pPr>
            <w:r w:rsidRPr="00BA50D8">
              <w:rPr>
                <w:sz w:val="18"/>
                <w:szCs w:val="18"/>
                <w:lang w:val="en-GB"/>
              </w:rPr>
              <w:t>.06</w:t>
            </w:r>
          </w:p>
        </w:tc>
      </w:tr>
      <w:tr w:rsidR="005D7B84" w:rsidRPr="00BA50D8" w14:paraId="66A9E52C" w14:textId="77777777" w:rsidTr="00E905CB">
        <w:tc>
          <w:tcPr>
            <w:tcW w:w="1270" w:type="pct"/>
            <w:vAlign w:val="center"/>
          </w:tcPr>
          <w:p w14:paraId="66A9E525" w14:textId="77777777" w:rsidR="005D7B84" w:rsidRPr="00BA50D8" w:rsidRDefault="005D7B84" w:rsidP="00975F71">
            <w:pPr>
              <w:ind w:firstLine="432"/>
              <w:rPr>
                <w:sz w:val="18"/>
                <w:szCs w:val="18"/>
                <w:lang w:val="en-GB"/>
              </w:rPr>
            </w:pPr>
            <w:r w:rsidRPr="00BA50D8">
              <w:rPr>
                <w:sz w:val="18"/>
                <w:szCs w:val="18"/>
                <w:lang w:val="en-GB"/>
              </w:rPr>
              <w:t>Conscientiousness</w:t>
            </w:r>
          </w:p>
        </w:tc>
        <w:tc>
          <w:tcPr>
            <w:tcW w:w="525" w:type="pct"/>
            <w:vAlign w:val="center"/>
          </w:tcPr>
          <w:p w14:paraId="66A9E526" w14:textId="77777777" w:rsidR="005D7B84" w:rsidRPr="00BA50D8" w:rsidRDefault="005D7B84" w:rsidP="00975F71">
            <w:pPr>
              <w:tabs>
                <w:tab w:val="decimal" w:pos="705"/>
              </w:tabs>
              <w:rPr>
                <w:sz w:val="18"/>
                <w:szCs w:val="18"/>
                <w:lang w:val="en-GB"/>
              </w:rPr>
            </w:pPr>
            <w:r w:rsidRPr="00BA50D8">
              <w:rPr>
                <w:sz w:val="18"/>
                <w:szCs w:val="18"/>
                <w:lang w:val="en-GB"/>
              </w:rPr>
              <w:t>.02</w:t>
            </w:r>
          </w:p>
        </w:tc>
        <w:tc>
          <w:tcPr>
            <w:tcW w:w="620" w:type="pct"/>
            <w:vAlign w:val="center"/>
          </w:tcPr>
          <w:p w14:paraId="66A9E527" w14:textId="77777777" w:rsidR="005D7B84" w:rsidRPr="00BA50D8" w:rsidRDefault="005D7B84" w:rsidP="00975F71">
            <w:pPr>
              <w:tabs>
                <w:tab w:val="decimal" w:pos="690"/>
              </w:tabs>
              <w:rPr>
                <w:sz w:val="18"/>
                <w:szCs w:val="18"/>
                <w:lang w:val="en-GB"/>
              </w:rPr>
            </w:pPr>
            <w:r w:rsidRPr="00BA50D8">
              <w:rPr>
                <w:sz w:val="18"/>
                <w:szCs w:val="18"/>
                <w:lang w:val="en-GB"/>
              </w:rPr>
              <w:t>-.23</w:t>
            </w:r>
            <w:r w:rsidRPr="00BA50D8">
              <w:rPr>
                <w:sz w:val="18"/>
                <w:szCs w:val="18"/>
                <w:vertAlign w:val="superscript"/>
                <w:lang w:val="en-GB"/>
              </w:rPr>
              <w:t>***</w:t>
            </w:r>
          </w:p>
        </w:tc>
        <w:tc>
          <w:tcPr>
            <w:tcW w:w="620" w:type="pct"/>
            <w:vAlign w:val="center"/>
          </w:tcPr>
          <w:p w14:paraId="66A9E528" w14:textId="77777777" w:rsidR="005D7B84" w:rsidRPr="00BA50D8" w:rsidRDefault="005D7B84" w:rsidP="00975F71">
            <w:pPr>
              <w:tabs>
                <w:tab w:val="decimal" w:pos="618"/>
              </w:tabs>
              <w:rPr>
                <w:sz w:val="18"/>
                <w:szCs w:val="18"/>
                <w:lang w:val="en-GB"/>
              </w:rPr>
            </w:pPr>
            <w:r w:rsidRPr="00BA50D8">
              <w:rPr>
                <w:sz w:val="18"/>
                <w:szCs w:val="18"/>
                <w:lang w:val="en-GB"/>
              </w:rPr>
              <w:t>.27</w:t>
            </w:r>
            <w:r w:rsidRPr="00BA50D8">
              <w:rPr>
                <w:sz w:val="18"/>
                <w:szCs w:val="18"/>
                <w:vertAlign w:val="superscript"/>
                <w:lang w:val="en-GB"/>
              </w:rPr>
              <w:t>***</w:t>
            </w:r>
          </w:p>
        </w:tc>
        <w:tc>
          <w:tcPr>
            <w:tcW w:w="661" w:type="pct"/>
            <w:vAlign w:val="center"/>
          </w:tcPr>
          <w:p w14:paraId="66A9E529" w14:textId="77777777" w:rsidR="005D7B84" w:rsidRPr="00BA50D8" w:rsidRDefault="005D7B84" w:rsidP="00975F71">
            <w:pPr>
              <w:tabs>
                <w:tab w:val="decimal" w:pos="690"/>
              </w:tabs>
              <w:ind w:right="95"/>
              <w:rPr>
                <w:sz w:val="18"/>
                <w:szCs w:val="18"/>
                <w:lang w:val="en-GB"/>
              </w:rPr>
            </w:pPr>
            <w:r w:rsidRPr="00BA50D8">
              <w:rPr>
                <w:sz w:val="18"/>
                <w:szCs w:val="18"/>
                <w:lang w:val="en-GB"/>
              </w:rPr>
              <w:t>.59</w:t>
            </w:r>
            <w:r w:rsidRPr="00BA50D8">
              <w:rPr>
                <w:sz w:val="18"/>
                <w:szCs w:val="18"/>
                <w:vertAlign w:val="superscript"/>
                <w:lang w:val="en-GB"/>
              </w:rPr>
              <w:t>***</w:t>
            </w:r>
          </w:p>
        </w:tc>
        <w:tc>
          <w:tcPr>
            <w:tcW w:w="686" w:type="pct"/>
            <w:vAlign w:val="center"/>
          </w:tcPr>
          <w:p w14:paraId="66A9E52A" w14:textId="77777777" w:rsidR="005D7B84" w:rsidRPr="00BA50D8" w:rsidRDefault="005D7B84" w:rsidP="00975F71">
            <w:pPr>
              <w:tabs>
                <w:tab w:val="decimal" w:pos="735"/>
              </w:tabs>
              <w:ind w:right="95"/>
              <w:rPr>
                <w:sz w:val="18"/>
                <w:szCs w:val="18"/>
                <w:lang w:val="en-GB"/>
              </w:rPr>
            </w:pPr>
            <w:r w:rsidRPr="00BA50D8">
              <w:rPr>
                <w:sz w:val="18"/>
                <w:szCs w:val="18"/>
                <w:lang w:val="en-GB"/>
              </w:rPr>
              <w:t>.12</w:t>
            </w:r>
            <w:r w:rsidRPr="00BA50D8">
              <w:rPr>
                <w:sz w:val="18"/>
                <w:szCs w:val="18"/>
                <w:vertAlign w:val="superscript"/>
                <w:lang w:val="en-GB"/>
              </w:rPr>
              <w:t>**</w:t>
            </w:r>
          </w:p>
        </w:tc>
        <w:tc>
          <w:tcPr>
            <w:tcW w:w="618" w:type="pct"/>
            <w:vAlign w:val="center"/>
          </w:tcPr>
          <w:p w14:paraId="66A9E52B" w14:textId="77777777" w:rsidR="005D7B84" w:rsidRPr="00BA50D8" w:rsidRDefault="005D7B84" w:rsidP="00975F71">
            <w:pPr>
              <w:tabs>
                <w:tab w:val="decimal" w:pos="585"/>
              </w:tabs>
              <w:ind w:right="95"/>
              <w:rPr>
                <w:sz w:val="18"/>
                <w:szCs w:val="18"/>
                <w:lang w:val="en-GB"/>
              </w:rPr>
            </w:pPr>
            <w:r w:rsidRPr="00BA50D8">
              <w:rPr>
                <w:sz w:val="18"/>
                <w:szCs w:val="18"/>
                <w:lang w:val="en-GB"/>
              </w:rPr>
              <w:t>-.13</w:t>
            </w:r>
          </w:p>
        </w:tc>
      </w:tr>
      <w:tr w:rsidR="005D7B84" w:rsidRPr="00BA50D8" w14:paraId="66A9E534" w14:textId="77777777" w:rsidTr="00E905CB">
        <w:tc>
          <w:tcPr>
            <w:tcW w:w="1270" w:type="pct"/>
            <w:vAlign w:val="center"/>
          </w:tcPr>
          <w:p w14:paraId="66A9E52D" w14:textId="77777777" w:rsidR="005D7B84" w:rsidRPr="00BA50D8" w:rsidRDefault="005D7B84" w:rsidP="00975F71">
            <w:pPr>
              <w:ind w:firstLine="432"/>
              <w:rPr>
                <w:sz w:val="18"/>
                <w:szCs w:val="18"/>
                <w:lang w:val="en-GB"/>
              </w:rPr>
            </w:pPr>
            <w:r w:rsidRPr="00BA50D8">
              <w:rPr>
                <w:sz w:val="18"/>
                <w:szCs w:val="18"/>
                <w:lang w:val="en-GB"/>
              </w:rPr>
              <w:t>Extraversion</w:t>
            </w:r>
          </w:p>
        </w:tc>
        <w:tc>
          <w:tcPr>
            <w:tcW w:w="525" w:type="pct"/>
            <w:vAlign w:val="center"/>
          </w:tcPr>
          <w:p w14:paraId="66A9E52E" w14:textId="77777777" w:rsidR="005D7B84" w:rsidRPr="00BA50D8" w:rsidRDefault="005D7B84" w:rsidP="00975F71">
            <w:pPr>
              <w:tabs>
                <w:tab w:val="decimal" w:pos="705"/>
              </w:tabs>
              <w:rPr>
                <w:sz w:val="18"/>
                <w:szCs w:val="18"/>
                <w:lang w:val="en-GB"/>
              </w:rPr>
            </w:pPr>
            <w:r w:rsidRPr="00BA50D8">
              <w:rPr>
                <w:sz w:val="18"/>
                <w:szCs w:val="18"/>
                <w:lang w:val="en-GB"/>
              </w:rPr>
              <w:t>-.11</w:t>
            </w:r>
            <w:r w:rsidRPr="00BA50D8">
              <w:rPr>
                <w:sz w:val="18"/>
                <w:szCs w:val="18"/>
                <w:vertAlign w:val="superscript"/>
                <w:lang w:val="en-GB"/>
              </w:rPr>
              <w:t>*</w:t>
            </w:r>
          </w:p>
        </w:tc>
        <w:tc>
          <w:tcPr>
            <w:tcW w:w="620" w:type="pct"/>
            <w:vAlign w:val="center"/>
          </w:tcPr>
          <w:p w14:paraId="66A9E52F" w14:textId="77777777" w:rsidR="005D7B84" w:rsidRPr="00BA50D8" w:rsidRDefault="005D7B84" w:rsidP="00975F71">
            <w:pPr>
              <w:tabs>
                <w:tab w:val="decimal" w:pos="690"/>
              </w:tabs>
              <w:rPr>
                <w:sz w:val="18"/>
                <w:szCs w:val="18"/>
                <w:lang w:val="en-GB"/>
              </w:rPr>
            </w:pPr>
            <w:r w:rsidRPr="00BA50D8">
              <w:rPr>
                <w:sz w:val="18"/>
                <w:szCs w:val="18"/>
                <w:lang w:val="en-GB"/>
              </w:rPr>
              <w:t>-.38</w:t>
            </w:r>
            <w:r w:rsidRPr="00BA50D8">
              <w:rPr>
                <w:sz w:val="18"/>
                <w:szCs w:val="18"/>
                <w:vertAlign w:val="superscript"/>
                <w:lang w:val="en-GB"/>
              </w:rPr>
              <w:t>***</w:t>
            </w:r>
          </w:p>
        </w:tc>
        <w:tc>
          <w:tcPr>
            <w:tcW w:w="620" w:type="pct"/>
            <w:vAlign w:val="center"/>
          </w:tcPr>
          <w:p w14:paraId="66A9E530" w14:textId="77777777" w:rsidR="005D7B84" w:rsidRPr="00BA50D8" w:rsidRDefault="005D7B84" w:rsidP="00975F71">
            <w:pPr>
              <w:tabs>
                <w:tab w:val="decimal" w:pos="618"/>
              </w:tabs>
              <w:rPr>
                <w:sz w:val="18"/>
                <w:szCs w:val="18"/>
                <w:lang w:val="en-GB"/>
              </w:rPr>
            </w:pPr>
            <w:r w:rsidRPr="00BA50D8">
              <w:rPr>
                <w:sz w:val="18"/>
                <w:szCs w:val="18"/>
                <w:lang w:val="en-GB"/>
              </w:rPr>
              <w:t>.59</w:t>
            </w:r>
            <w:r w:rsidRPr="00BA50D8">
              <w:rPr>
                <w:sz w:val="18"/>
                <w:szCs w:val="18"/>
                <w:vertAlign w:val="superscript"/>
                <w:lang w:val="en-GB"/>
              </w:rPr>
              <w:t>***</w:t>
            </w:r>
          </w:p>
        </w:tc>
        <w:tc>
          <w:tcPr>
            <w:tcW w:w="661" w:type="pct"/>
            <w:vAlign w:val="center"/>
          </w:tcPr>
          <w:p w14:paraId="66A9E531" w14:textId="77777777" w:rsidR="005D7B84" w:rsidRPr="00BA50D8" w:rsidRDefault="005D7B84" w:rsidP="00975F71">
            <w:pPr>
              <w:tabs>
                <w:tab w:val="decimal" w:pos="690"/>
              </w:tabs>
              <w:ind w:right="95"/>
              <w:rPr>
                <w:sz w:val="18"/>
                <w:szCs w:val="18"/>
                <w:lang w:val="en-GB"/>
              </w:rPr>
            </w:pPr>
            <w:r w:rsidRPr="00BA50D8">
              <w:rPr>
                <w:sz w:val="18"/>
                <w:szCs w:val="18"/>
                <w:lang w:val="en-GB"/>
              </w:rPr>
              <w:t>.35</w:t>
            </w:r>
            <w:r w:rsidRPr="00BA50D8">
              <w:rPr>
                <w:sz w:val="18"/>
                <w:szCs w:val="18"/>
                <w:vertAlign w:val="superscript"/>
                <w:lang w:val="en-GB"/>
              </w:rPr>
              <w:t>***</w:t>
            </w:r>
          </w:p>
        </w:tc>
        <w:tc>
          <w:tcPr>
            <w:tcW w:w="686" w:type="pct"/>
            <w:vAlign w:val="center"/>
          </w:tcPr>
          <w:p w14:paraId="66A9E532" w14:textId="77777777" w:rsidR="005D7B84" w:rsidRPr="00BA50D8" w:rsidRDefault="005D7B84" w:rsidP="00975F71">
            <w:pPr>
              <w:tabs>
                <w:tab w:val="decimal" w:pos="735"/>
              </w:tabs>
              <w:ind w:right="95"/>
              <w:rPr>
                <w:sz w:val="18"/>
                <w:szCs w:val="18"/>
                <w:lang w:val="en-GB"/>
              </w:rPr>
            </w:pPr>
            <w:r w:rsidRPr="00BA50D8">
              <w:rPr>
                <w:sz w:val="18"/>
                <w:szCs w:val="18"/>
                <w:lang w:val="en-GB"/>
              </w:rPr>
              <w:t>.46</w:t>
            </w:r>
            <w:r w:rsidRPr="00BA50D8">
              <w:rPr>
                <w:sz w:val="18"/>
                <w:szCs w:val="18"/>
                <w:vertAlign w:val="superscript"/>
                <w:lang w:val="en-GB"/>
              </w:rPr>
              <w:t>***</w:t>
            </w:r>
          </w:p>
        </w:tc>
        <w:tc>
          <w:tcPr>
            <w:tcW w:w="618" w:type="pct"/>
            <w:vAlign w:val="center"/>
          </w:tcPr>
          <w:p w14:paraId="66A9E533" w14:textId="77777777" w:rsidR="005D7B84" w:rsidRPr="00BA50D8" w:rsidRDefault="005D7B84" w:rsidP="00975F71">
            <w:pPr>
              <w:tabs>
                <w:tab w:val="decimal" w:pos="585"/>
              </w:tabs>
              <w:ind w:right="95"/>
              <w:rPr>
                <w:sz w:val="18"/>
                <w:szCs w:val="18"/>
                <w:lang w:val="en-GB"/>
              </w:rPr>
            </w:pPr>
            <w:r w:rsidRPr="00BA50D8">
              <w:rPr>
                <w:sz w:val="18"/>
                <w:szCs w:val="18"/>
                <w:lang w:val="en-GB"/>
              </w:rPr>
              <w:t>.38</w:t>
            </w:r>
            <w:r w:rsidRPr="00BA50D8">
              <w:rPr>
                <w:sz w:val="18"/>
                <w:szCs w:val="18"/>
                <w:vertAlign w:val="superscript"/>
                <w:lang w:val="en-GB"/>
              </w:rPr>
              <w:t>***</w:t>
            </w:r>
          </w:p>
        </w:tc>
      </w:tr>
      <w:tr w:rsidR="005D7B84" w:rsidRPr="00BA50D8" w14:paraId="66A9E53C" w14:textId="77777777" w:rsidTr="00E905CB">
        <w:tc>
          <w:tcPr>
            <w:tcW w:w="1270" w:type="pct"/>
            <w:vAlign w:val="center"/>
          </w:tcPr>
          <w:p w14:paraId="66A9E535" w14:textId="77777777" w:rsidR="005D7B84" w:rsidRPr="00BA50D8" w:rsidRDefault="005D7B84" w:rsidP="00975F71">
            <w:pPr>
              <w:ind w:firstLine="432"/>
              <w:rPr>
                <w:sz w:val="18"/>
                <w:szCs w:val="18"/>
                <w:lang w:val="en-GB"/>
              </w:rPr>
            </w:pPr>
            <w:r w:rsidRPr="00BA50D8">
              <w:rPr>
                <w:sz w:val="18"/>
                <w:szCs w:val="18"/>
                <w:lang w:val="en-GB"/>
              </w:rPr>
              <w:t>Agreeableness</w:t>
            </w:r>
          </w:p>
        </w:tc>
        <w:tc>
          <w:tcPr>
            <w:tcW w:w="525" w:type="pct"/>
            <w:vAlign w:val="center"/>
          </w:tcPr>
          <w:p w14:paraId="66A9E536" w14:textId="77777777" w:rsidR="005D7B84" w:rsidRPr="00BA50D8" w:rsidRDefault="005D7B84" w:rsidP="00975F71">
            <w:pPr>
              <w:tabs>
                <w:tab w:val="decimal" w:pos="705"/>
              </w:tabs>
              <w:rPr>
                <w:sz w:val="18"/>
                <w:szCs w:val="18"/>
                <w:lang w:val="en-GB"/>
              </w:rPr>
            </w:pPr>
            <w:r w:rsidRPr="00BA50D8">
              <w:rPr>
                <w:sz w:val="18"/>
                <w:szCs w:val="18"/>
                <w:lang w:val="en-GB"/>
              </w:rPr>
              <w:t>.05</w:t>
            </w:r>
          </w:p>
        </w:tc>
        <w:tc>
          <w:tcPr>
            <w:tcW w:w="620" w:type="pct"/>
            <w:vAlign w:val="center"/>
          </w:tcPr>
          <w:p w14:paraId="66A9E537" w14:textId="77777777" w:rsidR="005D7B84" w:rsidRPr="00BA50D8" w:rsidRDefault="005D7B84" w:rsidP="00975F71">
            <w:pPr>
              <w:tabs>
                <w:tab w:val="decimal" w:pos="690"/>
              </w:tabs>
              <w:rPr>
                <w:sz w:val="18"/>
                <w:szCs w:val="18"/>
                <w:lang w:val="en-GB"/>
              </w:rPr>
            </w:pPr>
            <w:r w:rsidRPr="00BA50D8">
              <w:rPr>
                <w:sz w:val="18"/>
                <w:szCs w:val="18"/>
                <w:lang w:val="en-GB"/>
              </w:rPr>
              <w:t>-.12</w:t>
            </w:r>
            <w:r w:rsidRPr="00BA50D8">
              <w:rPr>
                <w:sz w:val="18"/>
                <w:szCs w:val="18"/>
                <w:vertAlign w:val="superscript"/>
                <w:lang w:val="en-GB"/>
              </w:rPr>
              <w:t>**</w:t>
            </w:r>
          </w:p>
        </w:tc>
        <w:tc>
          <w:tcPr>
            <w:tcW w:w="620" w:type="pct"/>
            <w:vAlign w:val="center"/>
          </w:tcPr>
          <w:p w14:paraId="66A9E538" w14:textId="77777777" w:rsidR="005D7B84" w:rsidRPr="00BA50D8" w:rsidRDefault="005D7B84" w:rsidP="00975F71">
            <w:pPr>
              <w:tabs>
                <w:tab w:val="decimal" w:pos="618"/>
              </w:tabs>
              <w:rPr>
                <w:sz w:val="18"/>
                <w:szCs w:val="18"/>
                <w:lang w:val="en-GB"/>
              </w:rPr>
            </w:pPr>
            <w:r w:rsidRPr="00BA50D8">
              <w:rPr>
                <w:sz w:val="18"/>
                <w:szCs w:val="18"/>
                <w:lang w:val="en-GB"/>
              </w:rPr>
              <w:t>.16</w:t>
            </w:r>
            <w:r w:rsidRPr="00BA50D8">
              <w:rPr>
                <w:sz w:val="18"/>
                <w:szCs w:val="18"/>
                <w:vertAlign w:val="superscript"/>
                <w:lang w:val="en-GB"/>
              </w:rPr>
              <w:t>***</w:t>
            </w:r>
          </w:p>
        </w:tc>
        <w:tc>
          <w:tcPr>
            <w:tcW w:w="661" w:type="pct"/>
            <w:vAlign w:val="center"/>
          </w:tcPr>
          <w:p w14:paraId="66A9E539" w14:textId="77777777" w:rsidR="005D7B84" w:rsidRPr="00BA50D8" w:rsidRDefault="005D7B84" w:rsidP="00975F71">
            <w:pPr>
              <w:tabs>
                <w:tab w:val="decimal" w:pos="690"/>
              </w:tabs>
              <w:ind w:right="95"/>
              <w:rPr>
                <w:sz w:val="18"/>
                <w:szCs w:val="18"/>
                <w:lang w:val="en-GB"/>
              </w:rPr>
            </w:pPr>
            <w:r w:rsidRPr="00BA50D8">
              <w:rPr>
                <w:sz w:val="18"/>
                <w:szCs w:val="18"/>
                <w:lang w:val="en-GB"/>
              </w:rPr>
              <w:t>.08</w:t>
            </w:r>
          </w:p>
        </w:tc>
        <w:tc>
          <w:tcPr>
            <w:tcW w:w="686" w:type="pct"/>
            <w:vAlign w:val="center"/>
          </w:tcPr>
          <w:p w14:paraId="66A9E53A" w14:textId="77777777" w:rsidR="005D7B84" w:rsidRPr="00BA50D8" w:rsidRDefault="005D7B84" w:rsidP="00975F71">
            <w:pPr>
              <w:tabs>
                <w:tab w:val="decimal" w:pos="735"/>
              </w:tabs>
              <w:ind w:right="95"/>
              <w:rPr>
                <w:sz w:val="18"/>
                <w:szCs w:val="18"/>
                <w:lang w:val="en-GB"/>
              </w:rPr>
            </w:pPr>
            <w:r w:rsidRPr="00BA50D8">
              <w:rPr>
                <w:sz w:val="18"/>
                <w:szCs w:val="18"/>
                <w:lang w:val="en-GB"/>
              </w:rPr>
              <w:t>.13</w:t>
            </w:r>
            <w:r w:rsidRPr="00BA50D8">
              <w:rPr>
                <w:sz w:val="18"/>
                <w:szCs w:val="18"/>
                <w:vertAlign w:val="superscript"/>
                <w:lang w:val="en-GB"/>
              </w:rPr>
              <w:t>**</w:t>
            </w:r>
          </w:p>
        </w:tc>
        <w:tc>
          <w:tcPr>
            <w:tcW w:w="618" w:type="pct"/>
            <w:vAlign w:val="center"/>
          </w:tcPr>
          <w:p w14:paraId="66A9E53B" w14:textId="77777777" w:rsidR="005D7B84" w:rsidRPr="00BA50D8" w:rsidRDefault="005D7B84" w:rsidP="00975F71">
            <w:pPr>
              <w:tabs>
                <w:tab w:val="decimal" w:pos="585"/>
              </w:tabs>
              <w:ind w:right="95"/>
              <w:rPr>
                <w:sz w:val="18"/>
                <w:szCs w:val="18"/>
                <w:lang w:val="en-GB"/>
              </w:rPr>
            </w:pPr>
            <w:r w:rsidRPr="00BA50D8">
              <w:rPr>
                <w:sz w:val="18"/>
                <w:szCs w:val="18"/>
                <w:lang w:val="en-GB"/>
              </w:rPr>
              <w:t>-.09</w:t>
            </w:r>
            <w:r w:rsidRPr="00BA50D8">
              <w:rPr>
                <w:sz w:val="18"/>
                <w:szCs w:val="18"/>
                <w:vertAlign w:val="superscript"/>
                <w:lang w:val="en-GB"/>
              </w:rPr>
              <w:t>*</w:t>
            </w:r>
          </w:p>
        </w:tc>
      </w:tr>
      <w:tr w:rsidR="005D7B84" w:rsidRPr="00BA50D8" w14:paraId="66A9E544" w14:textId="77777777" w:rsidTr="00E905CB">
        <w:tc>
          <w:tcPr>
            <w:tcW w:w="1270" w:type="pct"/>
            <w:vAlign w:val="center"/>
          </w:tcPr>
          <w:p w14:paraId="66A9E53D" w14:textId="77777777" w:rsidR="005D7B84" w:rsidRPr="00BA50D8" w:rsidRDefault="005D7B84" w:rsidP="00975F71">
            <w:pPr>
              <w:ind w:firstLine="432"/>
              <w:rPr>
                <w:sz w:val="18"/>
                <w:szCs w:val="18"/>
                <w:lang w:val="en-GB"/>
              </w:rPr>
            </w:pPr>
            <w:r w:rsidRPr="00BA50D8">
              <w:rPr>
                <w:sz w:val="18"/>
                <w:szCs w:val="18"/>
                <w:lang w:val="en-GB"/>
              </w:rPr>
              <w:t>Neuroticism</w:t>
            </w:r>
          </w:p>
        </w:tc>
        <w:tc>
          <w:tcPr>
            <w:tcW w:w="525" w:type="pct"/>
            <w:vAlign w:val="center"/>
          </w:tcPr>
          <w:p w14:paraId="66A9E53E" w14:textId="77777777" w:rsidR="005D7B84" w:rsidRPr="00BA50D8" w:rsidRDefault="005D7B84" w:rsidP="00975F71">
            <w:pPr>
              <w:tabs>
                <w:tab w:val="decimal" w:pos="705"/>
              </w:tabs>
              <w:rPr>
                <w:sz w:val="18"/>
                <w:szCs w:val="18"/>
                <w:lang w:val="en-GB"/>
              </w:rPr>
            </w:pPr>
            <w:r w:rsidRPr="00BA50D8">
              <w:rPr>
                <w:sz w:val="18"/>
                <w:szCs w:val="18"/>
                <w:lang w:val="en-GB"/>
              </w:rPr>
              <w:t>.38</w:t>
            </w:r>
            <w:r w:rsidRPr="00BA50D8">
              <w:rPr>
                <w:sz w:val="18"/>
                <w:szCs w:val="18"/>
                <w:vertAlign w:val="superscript"/>
                <w:lang w:val="en-GB"/>
              </w:rPr>
              <w:t>***</w:t>
            </w:r>
          </w:p>
        </w:tc>
        <w:tc>
          <w:tcPr>
            <w:tcW w:w="620" w:type="pct"/>
            <w:vAlign w:val="center"/>
          </w:tcPr>
          <w:p w14:paraId="66A9E53F" w14:textId="77777777" w:rsidR="005D7B84" w:rsidRPr="00BA50D8" w:rsidRDefault="005D7B84" w:rsidP="00975F71">
            <w:pPr>
              <w:tabs>
                <w:tab w:val="decimal" w:pos="690"/>
              </w:tabs>
              <w:rPr>
                <w:sz w:val="18"/>
                <w:szCs w:val="18"/>
                <w:lang w:val="en-GB"/>
              </w:rPr>
            </w:pPr>
            <w:r w:rsidRPr="00BA50D8">
              <w:rPr>
                <w:sz w:val="18"/>
                <w:szCs w:val="18"/>
                <w:lang w:val="en-GB"/>
              </w:rPr>
              <w:t>.70</w:t>
            </w:r>
            <w:r w:rsidRPr="00BA50D8">
              <w:rPr>
                <w:sz w:val="18"/>
                <w:szCs w:val="18"/>
                <w:vertAlign w:val="superscript"/>
                <w:lang w:val="en-GB"/>
              </w:rPr>
              <w:t>***</w:t>
            </w:r>
          </w:p>
        </w:tc>
        <w:tc>
          <w:tcPr>
            <w:tcW w:w="620" w:type="pct"/>
            <w:vAlign w:val="center"/>
          </w:tcPr>
          <w:p w14:paraId="66A9E540" w14:textId="77777777" w:rsidR="005D7B84" w:rsidRPr="00BA50D8" w:rsidRDefault="005D7B84" w:rsidP="00975F71">
            <w:pPr>
              <w:tabs>
                <w:tab w:val="decimal" w:pos="618"/>
              </w:tabs>
              <w:rPr>
                <w:sz w:val="18"/>
                <w:szCs w:val="18"/>
                <w:lang w:val="en-GB"/>
              </w:rPr>
            </w:pPr>
            <w:r w:rsidRPr="00BA50D8">
              <w:rPr>
                <w:sz w:val="18"/>
                <w:szCs w:val="18"/>
                <w:lang w:val="en-GB"/>
              </w:rPr>
              <w:t>-.28</w:t>
            </w:r>
            <w:r w:rsidRPr="00BA50D8">
              <w:rPr>
                <w:sz w:val="18"/>
                <w:szCs w:val="18"/>
                <w:vertAlign w:val="superscript"/>
                <w:lang w:val="en-GB"/>
              </w:rPr>
              <w:t>***</w:t>
            </w:r>
          </w:p>
        </w:tc>
        <w:tc>
          <w:tcPr>
            <w:tcW w:w="661" w:type="pct"/>
            <w:vAlign w:val="center"/>
          </w:tcPr>
          <w:p w14:paraId="66A9E541" w14:textId="77777777" w:rsidR="005D7B84" w:rsidRPr="00BA50D8" w:rsidRDefault="005D7B84" w:rsidP="00975F71">
            <w:pPr>
              <w:tabs>
                <w:tab w:val="decimal" w:pos="690"/>
              </w:tabs>
              <w:ind w:right="95"/>
              <w:rPr>
                <w:sz w:val="18"/>
                <w:szCs w:val="18"/>
                <w:lang w:val="en-GB"/>
              </w:rPr>
            </w:pPr>
            <w:r w:rsidRPr="00BA50D8">
              <w:rPr>
                <w:sz w:val="18"/>
                <w:szCs w:val="18"/>
                <w:lang w:val="en-GB"/>
              </w:rPr>
              <w:t>-.24</w:t>
            </w:r>
            <w:r w:rsidRPr="00BA50D8">
              <w:rPr>
                <w:sz w:val="18"/>
                <w:szCs w:val="18"/>
                <w:vertAlign w:val="superscript"/>
                <w:lang w:val="en-GB"/>
              </w:rPr>
              <w:t>***</w:t>
            </w:r>
          </w:p>
        </w:tc>
        <w:tc>
          <w:tcPr>
            <w:tcW w:w="686" w:type="pct"/>
            <w:vAlign w:val="center"/>
          </w:tcPr>
          <w:p w14:paraId="66A9E542" w14:textId="77777777" w:rsidR="005D7B84" w:rsidRPr="00BA50D8" w:rsidRDefault="005D7B84" w:rsidP="00975F71">
            <w:pPr>
              <w:tabs>
                <w:tab w:val="decimal" w:pos="735"/>
              </w:tabs>
              <w:ind w:right="95"/>
              <w:rPr>
                <w:sz w:val="18"/>
                <w:szCs w:val="18"/>
                <w:lang w:val="en-GB"/>
              </w:rPr>
            </w:pPr>
            <w:r w:rsidRPr="00BA50D8">
              <w:rPr>
                <w:sz w:val="18"/>
                <w:szCs w:val="18"/>
                <w:lang w:val="en-GB"/>
              </w:rPr>
              <w:t>.01</w:t>
            </w:r>
          </w:p>
        </w:tc>
        <w:tc>
          <w:tcPr>
            <w:tcW w:w="618" w:type="pct"/>
            <w:vAlign w:val="center"/>
          </w:tcPr>
          <w:p w14:paraId="66A9E543" w14:textId="77777777" w:rsidR="005D7B84" w:rsidRPr="00BA50D8" w:rsidRDefault="005D7B84" w:rsidP="00975F71">
            <w:pPr>
              <w:tabs>
                <w:tab w:val="decimal" w:pos="585"/>
              </w:tabs>
              <w:ind w:right="95"/>
              <w:rPr>
                <w:sz w:val="18"/>
                <w:szCs w:val="18"/>
                <w:lang w:val="en-GB"/>
              </w:rPr>
            </w:pPr>
            <w:r w:rsidRPr="00BA50D8">
              <w:rPr>
                <w:sz w:val="18"/>
                <w:szCs w:val="18"/>
                <w:lang w:val="en-GB"/>
              </w:rPr>
              <w:t>.13</w:t>
            </w:r>
            <w:r w:rsidRPr="00BA50D8">
              <w:rPr>
                <w:sz w:val="18"/>
                <w:szCs w:val="18"/>
                <w:vertAlign w:val="superscript"/>
                <w:lang w:val="en-GB"/>
              </w:rPr>
              <w:t>**</w:t>
            </w:r>
          </w:p>
        </w:tc>
      </w:tr>
      <w:tr w:rsidR="005D7B84" w:rsidRPr="00BA50D8" w14:paraId="66A9E54C" w14:textId="77777777" w:rsidTr="00E905CB">
        <w:tc>
          <w:tcPr>
            <w:tcW w:w="1270" w:type="pct"/>
            <w:vAlign w:val="center"/>
          </w:tcPr>
          <w:p w14:paraId="66A9E545" w14:textId="77777777" w:rsidR="005D7B84" w:rsidRPr="00BA50D8" w:rsidRDefault="005D7B84" w:rsidP="00975F71">
            <w:pPr>
              <w:ind w:hanging="108"/>
              <w:rPr>
                <w:sz w:val="18"/>
                <w:szCs w:val="18"/>
                <w:lang w:val="en-GB"/>
              </w:rPr>
            </w:pPr>
            <w:r w:rsidRPr="00BA50D8">
              <w:rPr>
                <w:sz w:val="18"/>
                <w:szCs w:val="18"/>
                <w:lang w:val="en-GB"/>
              </w:rPr>
              <w:t>Fear Survey Schedule:</w:t>
            </w:r>
          </w:p>
        </w:tc>
        <w:tc>
          <w:tcPr>
            <w:tcW w:w="525" w:type="pct"/>
            <w:vAlign w:val="center"/>
          </w:tcPr>
          <w:p w14:paraId="66A9E546" w14:textId="77777777" w:rsidR="005D7B84" w:rsidRPr="00BA50D8" w:rsidRDefault="005D7B84" w:rsidP="00975F71">
            <w:pPr>
              <w:tabs>
                <w:tab w:val="decimal" w:pos="705"/>
              </w:tabs>
              <w:rPr>
                <w:sz w:val="18"/>
                <w:szCs w:val="18"/>
                <w:lang w:val="en-GB"/>
              </w:rPr>
            </w:pPr>
          </w:p>
        </w:tc>
        <w:tc>
          <w:tcPr>
            <w:tcW w:w="620" w:type="pct"/>
            <w:vAlign w:val="center"/>
          </w:tcPr>
          <w:p w14:paraId="66A9E547" w14:textId="77777777" w:rsidR="005D7B84" w:rsidRPr="00BA50D8" w:rsidRDefault="005D7B84" w:rsidP="00975F71">
            <w:pPr>
              <w:tabs>
                <w:tab w:val="decimal" w:pos="690"/>
              </w:tabs>
              <w:rPr>
                <w:sz w:val="18"/>
                <w:szCs w:val="18"/>
                <w:lang w:val="en-GB"/>
              </w:rPr>
            </w:pPr>
          </w:p>
        </w:tc>
        <w:tc>
          <w:tcPr>
            <w:tcW w:w="620" w:type="pct"/>
            <w:vAlign w:val="center"/>
          </w:tcPr>
          <w:p w14:paraId="66A9E548" w14:textId="77777777" w:rsidR="005D7B84" w:rsidRPr="00BA50D8" w:rsidRDefault="005D7B84" w:rsidP="00975F71">
            <w:pPr>
              <w:tabs>
                <w:tab w:val="decimal" w:pos="618"/>
              </w:tabs>
              <w:rPr>
                <w:sz w:val="18"/>
                <w:szCs w:val="18"/>
                <w:lang w:val="en-GB"/>
              </w:rPr>
            </w:pPr>
          </w:p>
        </w:tc>
        <w:tc>
          <w:tcPr>
            <w:tcW w:w="661" w:type="pct"/>
            <w:vAlign w:val="center"/>
          </w:tcPr>
          <w:p w14:paraId="66A9E549" w14:textId="77777777" w:rsidR="005D7B84" w:rsidRPr="00BA50D8" w:rsidRDefault="005D7B84" w:rsidP="00975F71">
            <w:pPr>
              <w:tabs>
                <w:tab w:val="decimal" w:pos="690"/>
              </w:tabs>
              <w:ind w:right="95"/>
              <w:rPr>
                <w:sz w:val="18"/>
                <w:szCs w:val="18"/>
                <w:lang w:val="en-GB"/>
              </w:rPr>
            </w:pPr>
          </w:p>
        </w:tc>
        <w:tc>
          <w:tcPr>
            <w:tcW w:w="686" w:type="pct"/>
            <w:vAlign w:val="center"/>
          </w:tcPr>
          <w:p w14:paraId="66A9E54A" w14:textId="77777777" w:rsidR="005D7B84" w:rsidRPr="00BA50D8" w:rsidRDefault="005D7B84" w:rsidP="00975F71">
            <w:pPr>
              <w:tabs>
                <w:tab w:val="decimal" w:pos="735"/>
              </w:tabs>
              <w:ind w:right="95"/>
              <w:rPr>
                <w:sz w:val="18"/>
                <w:szCs w:val="18"/>
                <w:lang w:val="en-GB"/>
              </w:rPr>
            </w:pPr>
          </w:p>
        </w:tc>
        <w:tc>
          <w:tcPr>
            <w:tcW w:w="618" w:type="pct"/>
            <w:vAlign w:val="center"/>
          </w:tcPr>
          <w:p w14:paraId="66A9E54B" w14:textId="77777777" w:rsidR="005D7B84" w:rsidRPr="00BA50D8" w:rsidRDefault="005D7B84" w:rsidP="00975F71">
            <w:pPr>
              <w:tabs>
                <w:tab w:val="decimal" w:pos="585"/>
              </w:tabs>
              <w:ind w:right="95"/>
              <w:rPr>
                <w:sz w:val="18"/>
                <w:szCs w:val="18"/>
                <w:lang w:val="en-GB"/>
              </w:rPr>
            </w:pPr>
          </w:p>
        </w:tc>
      </w:tr>
      <w:tr w:rsidR="005D7B84" w:rsidRPr="00BA50D8" w14:paraId="66A9E554" w14:textId="77777777" w:rsidTr="00E905CB">
        <w:tc>
          <w:tcPr>
            <w:tcW w:w="1270" w:type="pct"/>
            <w:vAlign w:val="center"/>
          </w:tcPr>
          <w:p w14:paraId="66A9E54D" w14:textId="77777777" w:rsidR="005D7B84" w:rsidRPr="00BA50D8" w:rsidRDefault="005D7B84" w:rsidP="00E905CB">
            <w:pPr>
              <w:tabs>
                <w:tab w:val="left" w:pos="540"/>
              </w:tabs>
              <w:ind w:firstLine="432"/>
              <w:rPr>
                <w:sz w:val="18"/>
                <w:szCs w:val="18"/>
                <w:lang w:val="en-GB"/>
              </w:rPr>
            </w:pPr>
            <w:r w:rsidRPr="00BA50D8">
              <w:rPr>
                <w:sz w:val="18"/>
                <w:szCs w:val="18"/>
                <w:lang w:val="en-GB"/>
              </w:rPr>
              <w:t xml:space="preserve">Tissue Damage </w:t>
            </w:r>
            <w:r w:rsidR="00E905CB">
              <w:rPr>
                <w:sz w:val="18"/>
                <w:szCs w:val="18"/>
                <w:lang w:val="en-GB"/>
              </w:rPr>
              <w:t>F</w:t>
            </w:r>
            <w:r w:rsidRPr="00BA50D8">
              <w:rPr>
                <w:sz w:val="18"/>
                <w:szCs w:val="18"/>
                <w:lang w:val="en-GB"/>
              </w:rPr>
              <w:t>ear</w:t>
            </w:r>
          </w:p>
        </w:tc>
        <w:tc>
          <w:tcPr>
            <w:tcW w:w="525" w:type="pct"/>
            <w:vAlign w:val="center"/>
          </w:tcPr>
          <w:p w14:paraId="66A9E54E" w14:textId="77777777" w:rsidR="005D7B84" w:rsidRPr="00BA50D8" w:rsidRDefault="005D7B84" w:rsidP="00975F71">
            <w:pPr>
              <w:tabs>
                <w:tab w:val="decimal" w:pos="705"/>
              </w:tabs>
              <w:rPr>
                <w:sz w:val="18"/>
                <w:szCs w:val="18"/>
                <w:lang w:val="en-GB"/>
              </w:rPr>
            </w:pPr>
            <w:r w:rsidRPr="00BA50D8">
              <w:rPr>
                <w:sz w:val="18"/>
                <w:szCs w:val="18"/>
                <w:lang w:val="en-GB"/>
              </w:rPr>
              <w:t>.43</w:t>
            </w:r>
            <w:r w:rsidRPr="00BA50D8">
              <w:rPr>
                <w:sz w:val="18"/>
                <w:szCs w:val="18"/>
                <w:vertAlign w:val="superscript"/>
                <w:lang w:val="en-GB"/>
              </w:rPr>
              <w:t>***</w:t>
            </w:r>
          </w:p>
        </w:tc>
        <w:tc>
          <w:tcPr>
            <w:tcW w:w="620" w:type="pct"/>
            <w:vAlign w:val="center"/>
          </w:tcPr>
          <w:p w14:paraId="66A9E54F" w14:textId="77777777" w:rsidR="005D7B84" w:rsidRPr="00BA50D8" w:rsidRDefault="005D7B84" w:rsidP="00975F71">
            <w:pPr>
              <w:tabs>
                <w:tab w:val="decimal" w:pos="690"/>
              </w:tabs>
              <w:rPr>
                <w:sz w:val="18"/>
                <w:szCs w:val="18"/>
                <w:lang w:val="en-GB"/>
              </w:rPr>
            </w:pPr>
            <w:r w:rsidRPr="00BA50D8">
              <w:rPr>
                <w:sz w:val="18"/>
                <w:szCs w:val="18"/>
                <w:lang w:val="en-GB"/>
              </w:rPr>
              <w:t>.30</w:t>
            </w:r>
            <w:r w:rsidRPr="00BA50D8">
              <w:rPr>
                <w:sz w:val="18"/>
                <w:szCs w:val="18"/>
                <w:vertAlign w:val="superscript"/>
                <w:lang w:val="en-GB"/>
              </w:rPr>
              <w:t>***</w:t>
            </w:r>
          </w:p>
        </w:tc>
        <w:tc>
          <w:tcPr>
            <w:tcW w:w="620" w:type="pct"/>
            <w:vAlign w:val="center"/>
          </w:tcPr>
          <w:p w14:paraId="66A9E550" w14:textId="77777777" w:rsidR="005D7B84" w:rsidRPr="00BA50D8" w:rsidRDefault="005D7B84" w:rsidP="00975F71">
            <w:pPr>
              <w:tabs>
                <w:tab w:val="decimal" w:pos="618"/>
              </w:tabs>
              <w:rPr>
                <w:sz w:val="18"/>
                <w:szCs w:val="18"/>
                <w:lang w:val="en-GB"/>
              </w:rPr>
            </w:pPr>
            <w:r w:rsidRPr="00BA50D8">
              <w:rPr>
                <w:sz w:val="18"/>
                <w:szCs w:val="18"/>
                <w:lang w:val="en-GB"/>
              </w:rPr>
              <w:t>-.08</w:t>
            </w:r>
          </w:p>
        </w:tc>
        <w:tc>
          <w:tcPr>
            <w:tcW w:w="661" w:type="pct"/>
            <w:vAlign w:val="center"/>
          </w:tcPr>
          <w:p w14:paraId="66A9E551" w14:textId="77777777" w:rsidR="005D7B84" w:rsidRPr="00BA50D8" w:rsidRDefault="005D7B84" w:rsidP="00975F71">
            <w:pPr>
              <w:tabs>
                <w:tab w:val="decimal" w:pos="690"/>
              </w:tabs>
              <w:ind w:right="95"/>
              <w:rPr>
                <w:sz w:val="18"/>
                <w:szCs w:val="18"/>
                <w:lang w:val="en-GB"/>
              </w:rPr>
            </w:pPr>
            <w:r w:rsidRPr="00BA50D8">
              <w:rPr>
                <w:sz w:val="18"/>
                <w:szCs w:val="18"/>
                <w:lang w:val="en-GB"/>
              </w:rPr>
              <w:t>-.01</w:t>
            </w:r>
          </w:p>
        </w:tc>
        <w:tc>
          <w:tcPr>
            <w:tcW w:w="686" w:type="pct"/>
            <w:vAlign w:val="center"/>
          </w:tcPr>
          <w:p w14:paraId="66A9E552" w14:textId="77777777" w:rsidR="005D7B84" w:rsidRPr="00BA50D8" w:rsidRDefault="005D7B84" w:rsidP="00975F71">
            <w:pPr>
              <w:tabs>
                <w:tab w:val="decimal" w:pos="735"/>
              </w:tabs>
              <w:ind w:right="95"/>
              <w:rPr>
                <w:sz w:val="18"/>
                <w:szCs w:val="18"/>
                <w:lang w:val="en-GB"/>
              </w:rPr>
            </w:pPr>
            <w:r w:rsidRPr="00BA50D8">
              <w:rPr>
                <w:sz w:val="18"/>
                <w:szCs w:val="18"/>
                <w:lang w:val="en-GB"/>
              </w:rPr>
              <w:t>.20</w:t>
            </w:r>
            <w:r w:rsidRPr="00BA50D8">
              <w:rPr>
                <w:sz w:val="18"/>
                <w:szCs w:val="18"/>
                <w:vertAlign w:val="superscript"/>
                <w:lang w:val="en-GB"/>
              </w:rPr>
              <w:t>***</w:t>
            </w:r>
          </w:p>
        </w:tc>
        <w:tc>
          <w:tcPr>
            <w:tcW w:w="618" w:type="pct"/>
            <w:vAlign w:val="center"/>
          </w:tcPr>
          <w:p w14:paraId="66A9E553" w14:textId="77777777" w:rsidR="005D7B84" w:rsidRPr="00BA50D8" w:rsidRDefault="005D7B84" w:rsidP="00975F71">
            <w:pPr>
              <w:tabs>
                <w:tab w:val="decimal" w:pos="585"/>
              </w:tabs>
              <w:ind w:right="95"/>
              <w:rPr>
                <w:sz w:val="18"/>
                <w:szCs w:val="18"/>
                <w:lang w:val="en-GB"/>
              </w:rPr>
            </w:pPr>
            <w:r w:rsidRPr="00BA50D8">
              <w:rPr>
                <w:sz w:val="18"/>
                <w:szCs w:val="18"/>
                <w:lang w:val="en-GB"/>
              </w:rPr>
              <w:t>.15</w:t>
            </w:r>
            <w:r w:rsidRPr="00BA50D8">
              <w:rPr>
                <w:sz w:val="18"/>
                <w:szCs w:val="18"/>
                <w:vertAlign w:val="superscript"/>
                <w:lang w:val="en-GB"/>
              </w:rPr>
              <w:t>***</w:t>
            </w:r>
          </w:p>
        </w:tc>
      </w:tr>
      <w:tr w:rsidR="005D7B84" w:rsidRPr="00BA50D8" w14:paraId="66A9E55C" w14:textId="77777777" w:rsidTr="00E905CB">
        <w:tc>
          <w:tcPr>
            <w:tcW w:w="1270" w:type="pct"/>
            <w:vAlign w:val="center"/>
          </w:tcPr>
          <w:p w14:paraId="66A9E555" w14:textId="77777777" w:rsidR="005D7B84" w:rsidRPr="00BA50D8" w:rsidRDefault="005D7B84" w:rsidP="00E905CB">
            <w:pPr>
              <w:tabs>
                <w:tab w:val="left" w:pos="540"/>
              </w:tabs>
              <w:ind w:firstLine="432"/>
              <w:rPr>
                <w:sz w:val="18"/>
                <w:szCs w:val="18"/>
                <w:lang w:val="en-GB"/>
              </w:rPr>
            </w:pPr>
            <w:r w:rsidRPr="00BA50D8">
              <w:rPr>
                <w:sz w:val="18"/>
                <w:szCs w:val="18"/>
                <w:lang w:val="en-GB"/>
              </w:rPr>
              <w:t xml:space="preserve">Social </w:t>
            </w:r>
            <w:r w:rsidR="00E905CB">
              <w:rPr>
                <w:sz w:val="18"/>
                <w:szCs w:val="18"/>
                <w:lang w:val="en-GB"/>
              </w:rPr>
              <w:t>F</w:t>
            </w:r>
            <w:r w:rsidRPr="00BA50D8">
              <w:rPr>
                <w:sz w:val="18"/>
                <w:szCs w:val="18"/>
                <w:lang w:val="en-GB"/>
              </w:rPr>
              <w:t>ear</w:t>
            </w:r>
          </w:p>
        </w:tc>
        <w:tc>
          <w:tcPr>
            <w:tcW w:w="525" w:type="pct"/>
            <w:vAlign w:val="center"/>
          </w:tcPr>
          <w:p w14:paraId="66A9E556" w14:textId="77777777" w:rsidR="005D7B84" w:rsidRPr="00BA50D8" w:rsidRDefault="005D7B84" w:rsidP="00975F71">
            <w:pPr>
              <w:tabs>
                <w:tab w:val="decimal" w:pos="705"/>
              </w:tabs>
              <w:rPr>
                <w:sz w:val="18"/>
                <w:szCs w:val="18"/>
                <w:lang w:val="en-GB"/>
              </w:rPr>
            </w:pPr>
            <w:r w:rsidRPr="00BA50D8">
              <w:rPr>
                <w:sz w:val="18"/>
                <w:szCs w:val="18"/>
                <w:lang w:val="en-GB"/>
              </w:rPr>
              <w:t>.34</w:t>
            </w:r>
            <w:r w:rsidRPr="00BA50D8">
              <w:rPr>
                <w:sz w:val="18"/>
                <w:szCs w:val="18"/>
                <w:vertAlign w:val="superscript"/>
                <w:lang w:val="en-GB"/>
              </w:rPr>
              <w:t>***</w:t>
            </w:r>
          </w:p>
        </w:tc>
        <w:tc>
          <w:tcPr>
            <w:tcW w:w="620" w:type="pct"/>
            <w:vAlign w:val="center"/>
          </w:tcPr>
          <w:p w14:paraId="66A9E557" w14:textId="77777777" w:rsidR="005D7B84" w:rsidRPr="00BA50D8" w:rsidRDefault="005D7B84" w:rsidP="00975F71">
            <w:pPr>
              <w:tabs>
                <w:tab w:val="decimal" w:pos="690"/>
              </w:tabs>
              <w:rPr>
                <w:sz w:val="18"/>
                <w:szCs w:val="18"/>
                <w:lang w:val="en-GB"/>
              </w:rPr>
            </w:pPr>
            <w:r w:rsidRPr="00BA50D8">
              <w:rPr>
                <w:sz w:val="18"/>
                <w:szCs w:val="18"/>
                <w:lang w:val="en-GB"/>
              </w:rPr>
              <w:t>.56</w:t>
            </w:r>
            <w:r w:rsidRPr="00BA50D8">
              <w:rPr>
                <w:sz w:val="18"/>
                <w:szCs w:val="18"/>
                <w:vertAlign w:val="superscript"/>
                <w:lang w:val="en-GB"/>
              </w:rPr>
              <w:t>***</w:t>
            </w:r>
          </w:p>
        </w:tc>
        <w:tc>
          <w:tcPr>
            <w:tcW w:w="620" w:type="pct"/>
            <w:vAlign w:val="center"/>
          </w:tcPr>
          <w:p w14:paraId="66A9E558" w14:textId="77777777" w:rsidR="005D7B84" w:rsidRPr="00BA50D8" w:rsidRDefault="005D7B84" w:rsidP="00975F71">
            <w:pPr>
              <w:tabs>
                <w:tab w:val="decimal" w:pos="618"/>
              </w:tabs>
              <w:rPr>
                <w:sz w:val="18"/>
                <w:szCs w:val="18"/>
                <w:lang w:val="en-GB"/>
              </w:rPr>
            </w:pPr>
            <w:r w:rsidRPr="00BA50D8">
              <w:rPr>
                <w:sz w:val="18"/>
                <w:szCs w:val="18"/>
                <w:lang w:val="en-GB"/>
              </w:rPr>
              <w:t>-.20</w:t>
            </w:r>
            <w:r w:rsidRPr="00BA50D8">
              <w:rPr>
                <w:sz w:val="18"/>
                <w:szCs w:val="18"/>
                <w:vertAlign w:val="superscript"/>
                <w:lang w:val="en-GB"/>
              </w:rPr>
              <w:t>***</w:t>
            </w:r>
          </w:p>
        </w:tc>
        <w:tc>
          <w:tcPr>
            <w:tcW w:w="661" w:type="pct"/>
            <w:vAlign w:val="center"/>
          </w:tcPr>
          <w:p w14:paraId="66A9E559" w14:textId="77777777" w:rsidR="005D7B84" w:rsidRPr="00BA50D8" w:rsidRDefault="005D7B84" w:rsidP="00975F71">
            <w:pPr>
              <w:tabs>
                <w:tab w:val="decimal" w:pos="690"/>
              </w:tabs>
              <w:ind w:right="95"/>
              <w:rPr>
                <w:sz w:val="18"/>
                <w:szCs w:val="18"/>
                <w:lang w:val="en-GB"/>
              </w:rPr>
            </w:pPr>
            <w:r w:rsidRPr="00BA50D8">
              <w:rPr>
                <w:sz w:val="18"/>
                <w:szCs w:val="18"/>
                <w:lang w:val="en-GB"/>
              </w:rPr>
              <w:t>-.11</w:t>
            </w:r>
            <w:r w:rsidRPr="00BA50D8">
              <w:rPr>
                <w:sz w:val="18"/>
                <w:szCs w:val="18"/>
                <w:vertAlign w:val="superscript"/>
                <w:lang w:val="en-GB"/>
              </w:rPr>
              <w:t>**</w:t>
            </w:r>
          </w:p>
        </w:tc>
        <w:tc>
          <w:tcPr>
            <w:tcW w:w="686" w:type="pct"/>
            <w:vAlign w:val="center"/>
          </w:tcPr>
          <w:p w14:paraId="66A9E55A" w14:textId="77777777" w:rsidR="005D7B84" w:rsidRPr="00BA50D8" w:rsidRDefault="005D7B84" w:rsidP="00975F71">
            <w:pPr>
              <w:tabs>
                <w:tab w:val="decimal" w:pos="735"/>
              </w:tabs>
              <w:ind w:right="95"/>
              <w:rPr>
                <w:sz w:val="18"/>
                <w:szCs w:val="18"/>
                <w:lang w:val="en-GB"/>
              </w:rPr>
            </w:pPr>
            <w:r w:rsidRPr="00BA50D8">
              <w:rPr>
                <w:sz w:val="18"/>
                <w:szCs w:val="18"/>
                <w:lang w:val="en-GB"/>
              </w:rPr>
              <w:t>.09</w:t>
            </w:r>
            <w:r w:rsidRPr="00BA50D8">
              <w:rPr>
                <w:sz w:val="18"/>
                <w:szCs w:val="18"/>
                <w:vertAlign w:val="superscript"/>
                <w:lang w:val="en-GB"/>
              </w:rPr>
              <w:t>*</w:t>
            </w:r>
          </w:p>
        </w:tc>
        <w:tc>
          <w:tcPr>
            <w:tcW w:w="618" w:type="pct"/>
            <w:vAlign w:val="center"/>
          </w:tcPr>
          <w:p w14:paraId="66A9E55B" w14:textId="77777777" w:rsidR="005D7B84" w:rsidRPr="00BA50D8" w:rsidRDefault="005D7B84" w:rsidP="00975F71">
            <w:pPr>
              <w:tabs>
                <w:tab w:val="decimal" w:pos="585"/>
              </w:tabs>
              <w:ind w:right="95"/>
              <w:rPr>
                <w:sz w:val="18"/>
                <w:szCs w:val="18"/>
                <w:lang w:val="en-GB"/>
              </w:rPr>
            </w:pPr>
            <w:r w:rsidRPr="00BA50D8">
              <w:rPr>
                <w:sz w:val="18"/>
                <w:szCs w:val="18"/>
                <w:lang w:val="en-GB"/>
              </w:rPr>
              <w:t>.07</w:t>
            </w:r>
          </w:p>
        </w:tc>
      </w:tr>
      <w:tr w:rsidR="005D7B84" w:rsidRPr="00BA50D8" w14:paraId="66A9E564" w14:textId="77777777" w:rsidTr="00E905CB">
        <w:tc>
          <w:tcPr>
            <w:tcW w:w="1270" w:type="pct"/>
            <w:vAlign w:val="center"/>
          </w:tcPr>
          <w:p w14:paraId="66A9E55D" w14:textId="77777777" w:rsidR="005D7B84" w:rsidRPr="00BA50D8" w:rsidRDefault="005D7B84" w:rsidP="00975F71">
            <w:pPr>
              <w:tabs>
                <w:tab w:val="left" w:pos="540"/>
              </w:tabs>
              <w:ind w:firstLine="432"/>
              <w:rPr>
                <w:sz w:val="18"/>
                <w:szCs w:val="18"/>
                <w:lang w:val="en-GB"/>
              </w:rPr>
            </w:pPr>
            <w:r w:rsidRPr="00BA50D8">
              <w:rPr>
                <w:sz w:val="18"/>
                <w:szCs w:val="18"/>
                <w:lang w:val="en-GB"/>
              </w:rPr>
              <w:t>Agoraphobia</w:t>
            </w:r>
          </w:p>
        </w:tc>
        <w:tc>
          <w:tcPr>
            <w:tcW w:w="525" w:type="pct"/>
            <w:vAlign w:val="center"/>
          </w:tcPr>
          <w:p w14:paraId="66A9E55E" w14:textId="77777777" w:rsidR="005D7B84" w:rsidRPr="00BA50D8" w:rsidRDefault="005D7B84" w:rsidP="00975F71">
            <w:pPr>
              <w:tabs>
                <w:tab w:val="decimal" w:pos="705"/>
              </w:tabs>
              <w:rPr>
                <w:sz w:val="18"/>
                <w:szCs w:val="18"/>
                <w:lang w:val="en-GB"/>
              </w:rPr>
            </w:pPr>
            <w:r w:rsidRPr="00BA50D8">
              <w:rPr>
                <w:sz w:val="18"/>
                <w:szCs w:val="18"/>
                <w:lang w:val="en-GB"/>
              </w:rPr>
              <w:t>.43</w:t>
            </w:r>
            <w:r w:rsidRPr="00BA50D8">
              <w:rPr>
                <w:sz w:val="18"/>
                <w:szCs w:val="18"/>
                <w:vertAlign w:val="superscript"/>
                <w:lang w:val="en-GB"/>
              </w:rPr>
              <w:t>***</w:t>
            </w:r>
          </w:p>
        </w:tc>
        <w:tc>
          <w:tcPr>
            <w:tcW w:w="620" w:type="pct"/>
            <w:vAlign w:val="center"/>
          </w:tcPr>
          <w:p w14:paraId="66A9E55F" w14:textId="77777777" w:rsidR="005D7B84" w:rsidRPr="00BA50D8" w:rsidRDefault="005D7B84" w:rsidP="00975F71">
            <w:pPr>
              <w:tabs>
                <w:tab w:val="decimal" w:pos="690"/>
              </w:tabs>
              <w:rPr>
                <w:sz w:val="18"/>
                <w:szCs w:val="18"/>
                <w:lang w:val="en-GB"/>
              </w:rPr>
            </w:pPr>
            <w:r w:rsidRPr="00BA50D8">
              <w:rPr>
                <w:sz w:val="18"/>
                <w:szCs w:val="18"/>
                <w:lang w:val="en-GB"/>
              </w:rPr>
              <w:t>.43</w:t>
            </w:r>
            <w:r w:rsidRPr="00BA50D8">
              <w:rPr>
                <w:sz w:val="18"/>
                <w:szCs w:val="18"/>
                <w:vertAlign w:val="superscript"/>
                <w:lang w:val="en-GB"/>
              </w:rPr>
              <w:t>***</w:t>
            </w:r>
          </w:p>
        </w:tc>
        <w:tc>
          <w:tcPr>
            <w:tcW w:w="620" w:type="pct"/>
            <w:vAlign w:val="center"/>
          </w:tcPr>
          <w:p w14:paraId="66A9E560" w14:textId="77777777" w:rsidR="005D7B84" w:rsidRPr="00BA50D8" w:rsidRDefault="005D7B84" w:rsidP="00975F71">
            <w:pPr>
              <w:tabs>
                <w:tab w:val="decimal" w:pos="618"/>
              </w:tabs>
              <w:rPr>
                <w:sz w:val="18"/>
                <w:szCs w:val="18"/>
                <w:lang w:val="en-GB"/>
              </w:rPr>
            </w:pPr>
            <w:r w:rsidRPr="00BA50D8">
              <w:rPr>
                <w:sz w:val="18"/>
                <w:szCs w:val="18"/>
                <w:lang w:val="en-GB"/>
              </w:rPr>
              <w:t>-18</w:t>
            </w:r>
            <w:r w:rsidRPr="00BA50D8">
              <w:rPr>
                <w:sz w:val="18"/>
                <w:szCs w:val="18"/>
                <w:vertAlign w:val="superscript"/>
                <w:lang w:val="en-GB"/>
              </w:rPr>
              <w:t>***</w:t>
            </w:r>
          </w:p>
        </w:tc>
        <w:tc>
          <w:tcPr>
            <w:tcW w:w="661" w:type="pct"/>
            <w:vAlign w:val="center"/>
          </w:tcPr>
          <w:p w14:paraId="66A9E561" w14:textId="77777777" w:rsidR="005D7B84" w:rsidRPr="00BA50D8" w:rsidRDefault="005D7B84" w:rsidP="00975F71">
            <w:pPr>
              <w:tabs>
                <w:tab w:val="decimal" w:pos="690"/>
              </w:tabs>
              <w:ind w:right="95"/>
              <w:rPr>
                <w:sz w:val="18"/>
                <w:szCs w:val="18"/>
                <w:lang w:val="en-GB"/>
              </w:rPr>
            </w:pPr>
            <w:r w:rsidRPr="00BA50D8">
              <w:rPr>
                <w:sz w:val="18"/>
                <w:szCs w:val="18"/>
                <w:lang w:val="en-GB"/>
              </w:rPr>
              <w:t>-.09</w:t>
            </w:r>
            <w:r w:rsidRPr="00BA50D8">
              <w:rPr>
                <w:sz w:val="18"/>
                <w:szCs w:val="18"/>
                <w:vertAlign w:val="superscript"/>
                <w:lang w:val="en-GB"/>
              </w:rPr>
              <w:t>*</w:t>
            </w:r>
          </w:p>
        </w:tc>
        <w:tc>
          <w:tcPr>
            <w:tcW w:w="686" w:type="pct"/>
            <w:vAlign w:val="center"/>
          </w:tcPr>
          <w:p w14:paraId="66A9E562" w14:textId="77777777" w:rsidR="005D7B84" w:rsidRPr="00BA50D8" w:rsidRDefault="005D7B84" w:rsidP="00975F71">
            <w:pPr>
              <w:widowControl w:val="0"/>
              <w:tabs>
                <w:tab w:val="decimal" w:pos="735"/>
              </w:tabs>
              <w:ind w:right="40"/>
              <w:rPr>
                <w:sz w:val="18"/>
                <w:szCs w:val="18"/>
                <w:lang w:val="en-GB"/>
              </w:rPr>
            </w:pPr>
            <w:r w:rsidRPr="00BA50D8">
              <w:rPr>
                <w:sz w:val="18"/>
                <w:szCs w:val="18"/>
                <w:lang w:val="en-GB"/>
              </w:rPr>
              <w:t>.10</w:t>
            </w:r>
            <w:r w:rsidRPr="00BA50D8">
              <w:rPr>
                <w:sz w:val="18"/>
                <w:szCs w:val="18"/>
                <w:vertAlign w:val="superscript"/>
                <w:lang w:val="en-GB"/>
              </w:rPr>
              <w:t>*</w:t>
            </w:r>
          </w:p>
        </w:tc>
        <w:tc>
          <w:tcPr>
            <w:tcW w:w="618" w:type="pct"/>
            <w:vAlign w:val="center"/>
          </w:tcPr>
          <w:p w14:paraId="66A9E563" w14:textId="77777777" w:rsidR="005D7B84" w:rsidRPr="00BA50D8" w:rsidRDefault="005D7B84" w:rsidP="00975F71">
            <w:pPr>
              <w:tabs>
                <w:tab w:val="decimal" w:pos="585"/>
              </w:tabs>
              <w:ind w:right="95"/>
              <w:rPr>
                <w:sz w:val="18"/>
                <w:szCs w:val="18"/>
                <w:lang w:val="en-GB"/>
              </w:rPr>
            </w:pPr>
            <w:r w:rsidRPr="00BA50D8">
              <w:rPr>
                <w:sz w:val="18"/>
                <w:szCs w:val="18"/>
                <w:lang w:val="en-GB"/>
              </w:rPr>
              <w:t>.05</w:t>
            </w:r>
          </w:p>
        </w:tc>
      </w:tr>
      <w:tr w:rsidR="005D7B84" w:rsidRPr="00BA50D8" w14:paraId="66A9E56C" w14:textId="77777777" w:rsidTr="00E905CB">
        <w:tc>
          <w:tcPr>
            <w:tcW w:w="1270" w:type="pct"/>
            <w:vAlign w:val="center"/>
          </w:tcPr>
          <w:p w14:paraId="66A9E565" w14:textId="77777777" w:rsidR="005D7B84" w:rsidRPr="00BA50D8" w:rsidRDefault="005D7B84" w:rsidP="00E905CB">
            <w:pPr>
              <w:tabs>
                <w:tab w:val="left" w:pos="540"/>
              </w:tabs>
              <w:ind w:firstLine="432"/>
              <w:rPr>
                <w:sz w:val="18"/>
                <w:szCs w:val="18"/>
                <w:lang w:val="en-GB"/>
              </w:rPr>
            </w:pPr>
            <w:r w:rsidRPr="00BA50D8">
              <w:rPr>
                <w:sz w:val="18"/>
                <w:szCs w:val="18"/>
                <w:lang w:val="en-GB"/>
              </w:rPr>
              <w:t xml:space="preserve">Sex </w:t>
            </w:r>
            <w:r w:rsidR="00E905CB">
              <w:rPr>
                <w:sz w:val="18"/>
                <w:szCs w:val="18"/>
                <w:lang w:val="en-GB"/>
              </w:rPr>
              <w:t>F</w:t>
            </w:r>
            <w:r w:rsidRPr="00BA50D8">
              <w:rPr>
                <w:sz w:val="18"/>
                <w:szCs w:val="18"/>
                <w:lang w:val="en-GB"/>
              </w:rPr>
              <w:t>ear</w:t>
            </w:r>
          </w:p>
        </w:tc>
        <w:tc>
          <w:tcPr>
            <w:tcW w:w="525" w:type="pct"/>
            <w:vAlign w:val="center"/>
          </w:tcPr>
          <w:p w14:paraId="66A9E566" w14:textId="77777777" w:rsidR="005D7B84" w:rsidRPr="00BA50D8" w:rsidRDefault="005D7B84" w:rsidP="00975F71">
            <w:pPr>
              <w:tabs>
                <w:tab w:val="decimal" w:pos="705"/>
              </w:tabs>
              <w:rPr>
                <w:sz w:val="18"/>
                <w:szCs w:val="18"/>
                <w:lang w:val="en-GB"/>
              </w:rPr>
            </w:pPr>
            <w:r w:rsidRPr="00BA50D8">
              <w:rPr>
                <w:sz w:val="18"/>
                <w:szCs w:val="18"/>
                <w:lang w:val="en-GB"/>
              </w:rPr>
              <w:t>.39</w:t>
            </w:r>
            <w:r w:rsidRPr="00BA50D8">
              <w:rPr>
                <w:sz w:val="18"/>
                <w:szCs w:val="18"/>
                <w:vertAlign w:val="superscript"/>
                <w:lang w:val="en-GB"/>
              </w:rPr>
              <w:t>***</w:t>
            </w:r>
          </w:p>
        </w:tc>
        <w:tc>
          <w:tcPr>
            <w:tcW w:w="620" w:type="pct"/>
            <w:vAlign w:val="center"/>
          </w:tcPr>
          <w:p w14:paraId="66A9E567" w14:textId="77777777" w:rsidR="005D7B84" w:rsidRPr="00BA50D8" w:rsidRDefault="005D7B84" w:rsidP="00975F71">
            <w:pPr>
              <w:tabs>
                <w:tab w:val="decimal" w:pos="690"/>
              </w:tabs>
              <w:rPr>
                <w:sz w:val="18"/>
                <w:szCs w:val="18"/>
                <w:lang w:val="en-GB"/>
              </w:rPr>
            </w:pPr>
            <w:r w:rsidRPr="00BA50D8">
              <w:rPr>
                <w:sz w:val="18"/>
                <w:szCs w:val="18"/>
                <w:lang w:val="en-GB"/>
              </w:rPr>
              <w:t>.39</w:t>
            </w:r>
            <w:r w:rsidRPr="00BA50D8">
              <w:rPr>
                <w:sz w:val="18"/>
                <w:szCs w:val="18"/>
                <w:vertAlign w:val="superscript"/>
                <w:lang w:val="en-GB"/>
              </w:rPr>
              <w:t>***</w:t>
            </w:r>
          </w:p>
        </w:tc>
        <w:tc>
          <w:tcPr>
            <w:tcW w:w="620" w:type="pct"/>
            <w:vAlign w:val="center"/>
          </w:tcPr>
          <w:p w14:paraId="66A9E568" w14:textId="77777777" w:rsidR="005D7B84" w:rsidRPr="00BA50D8" w:rsidRDefault="005D7B84" w:rsidP="00975F71">
            <w:pPr>
              <w:tabs>
                <w:tab w:val="decimal" w:pos="618"/>
              </w:tabs>
              <w:rPr>
                <w:sz w:val="18"/>
                <w:szCs w:val="18"/>
                <w:lang w:val="en-GB"/>
              </w:rPr>
            </w:pPr>
            <w:r w:rsidRPr="00BA50D8">
              <w:rPr>
                <w:sz w:val="18"/>
                <w:szCs w:val="18"/>
                <w:lang w:val="en-GB"/>
              </w:rPr>
              <w:t>-15</w:t>
            </w:r>
            <w:r w:rsidRPr="00BA50D8">
              <w:rPr>
                <w:sz w:val="18"/>
                <w:szCs w:val="18"/>
                <w:vertAlign w:val="superscript"/>
                <w:lang w:val="en-GB"/>
              </w:rPr>
              <w:t>**</w:t>
            </w:r>
          </w:p>
        </w:tc>
        <w:tc>
          <w:tcPr>
            <w:tcW w:w="661" w:type="pct"/>
            <w:vAlign w:val="center"/>
          </w:tcPr>
          <w:p w14:paraId="66A9E569" w14:textId="77777777" w:rsidR="005D7B84" w:rsidRPr="00BA50D8" w:rsidRDefault="005D7B84" w:rsidP="00975F71">
            <w:pPr>
              <w:tabs>
                <w:tab w:val="decimal" w:pos="690"/>
              </w:tabs>
              <w:ind w:right="95"/>
              <w:rPr>
                <w:sz w:val="18"/>
                <w:szCs w:val="18"/>
                <w:lang w:val="en-GB"/>
              </w:rPr>
            </w:pPr>
            <w:r w:rsidRPr="00BA50D8">
              <w:rPr>
                <w:sz w:val="18"/>
                <w:szCs w:val="18"/>
                <w:lang w:val="en-GB"/>
              </w:rPr>
              <w:t>-.05</w:t>
            </w:r>
          </w:p>
        </w:tc>
        <w:tc>
          <w:tcPr>
            <w:tcW w:w="686" w:type="pct"/>
            <w:vAlign w:val="center"/>
          </w:tcPr>
          <w:p w14:paraId="66A9E56A" w14:textId="77777777" w:rsidR="005D7B84" w:rsidRPr="00BA50D8" w:rsidRDefault="005D7B84" w:rsidP="00975F71">
            <w:pPr>
              <w:tabs>
                <w:tab w:val="decimal" w:pos="735"/>
              </w:tabs>
              <w:ind w:right="95"/>
              <w:rPr>
                <w:sz w:val="18"/>
                <w:szCs w:val="18"/>
                <w:lang w:val="en-GB"/>
              </w:rPr>
            </w:pPr>
            <w:r w:rsidRPr="00BA50D8">
              <w:rPr>
                <w:sz w:val="18"/>
                <w:szCs w:val="18"/>
                <w:lang w:val="en-GB"/>
              </w:rPr>
              <w:t>.11</w:t>
            </w:r>
            <w:r w:rsidRPr="00BA50D8">
              <w:rPr>
                <w:sz w:val="18"/>
                <w:szCs w:val="18"/>
                <w:vertAlign w:val="superscript"/>
                <w:lang w:val="en-GB"/>
              </w:rPr>
              <w:t>*</w:t>
            </w:r>
          </w:p>
        </w:tc>
        <w:tc>
          <w:tcPr>
            <w:tcW w:w="618" w:type="pct"/>
            <w:vAlign w:val="center"/>
          </w:tcPr>
          <w:p w14:paraId="66A9E56B" w14:textId="77777777" w:rsidR="005D7B84" w:rsidRPr="00BA50D8" w:rsidRDefault="005D7B84" w:rsidP="00975F71">
            <w:pPr>
              <w:tabs>
                <w:tab w:val="decimal" w:pos="585"/>
              </w:tabs>
              <w:ind w:right="95"/>
              <w:rPr>
                <w:sz w:val="18"/>
                <w:szCs w:val="18"/>
                <w:lang w:val="en-GB"/>
              </w:rPr>
            </w:pPr>
            <w:r w:rsidRPr="00BA50D8">
              <w:rPr>
                <w:sz w:val="18"/>
                <w:szCs w:val="18"/>
                <w:lang w:val="en-GB"/>
              </w:rPr>
              <w:t>.06</w:t>
            </w:r>
          </w:p>
        </w:tc>
      </w:tr>
      <w:tr w:rsidR="005D7B84" w:rsidRPr="00BA50D8" w14:paraId="66A9E574" w14:textId="77777777" w:rsidTr="00E905CB">
        <w:tc>
          <w:tcPr>
            <w:tcW w:w="1270" w:type="pct"/>
            <w:vAlign w:val="center"/>
          </w:tcPr>
          <w:p w14:paraId="66A9E56D" w14:textId="77777777" w:rsidR="005D7B84" w:rsidRPr="00BA50D8" w:rsidRDefault="00E905CB" w:rsidP="00975F71">
            <w:pPr>
              <w:tabs>
                <w:tab w:val="left" w:pos="540"/>
              </w:tabs>
              <w:ind w:firstLine="432"/>
              <w:rPr>
                <w:sz w:val="18"/>
                <w:szCs w:val="18"/>
                <w:lang w:val="en-GB"/>
              </w:rPr>
            </w:pPr>
            <w:r>
              <w:rPr>
                <w:sz w:val="18"/>
                <w:szCs w:val="18"/>
                <w:lang w:val="en-GB"/>
              </w:rPr>
              <w:t>Animal F</w:t>
            </w:r>
            <w:r w:rsidR="005D7B84" w:rsidRPr="00BA50D8">
              <w:rPr>
                <w:sz w:val="18"/>
                <w:szCs w:val="18"/>
                <w:lang w:val="en-GB"/>
              </w:rPr>
              <w:t>ear</w:t>
            </w:r>
          </w:p>
        </w:tc>
        <w:tc>
          <w:tcPr>
            <w:tcW w:w="525" w:type="pct"/>
            <w:vAlign w:val="center"/>
          </w:tcPr>
          <w:p w14:paraId="66A9E56E" w14:textId="77777777" w:rsidR="005D7B84" w:rsidRPr="00BA50D8" w:rsidRDefault="005D7B84" w:rsidP="00975F71">
            <w:pPr>
              <w:tabs>
                <w:tab w:val="decimal" w:pos="705"/>
              </w:tabs>
              <w:rPr>
                <w:sz w:val="18"/>
                <w:szCs w:val="18"/>
                <w:lang w:val="en-GB"/>
              </w:rPr>
            </w:pPr>
            <w:r w:rsidRPr="00BA50D8">
              <w:rPr>
                <w:sz w:val="18"/>
                <w:szCs w:val="18"/>
                <w:lang w:val="en-GB"/>
              </w:rPr>
              <w:t>.48</w:t>
            </w:r>
            <w:r w:rsidRPr="00BA50D8">
              <w:rPr>
                <w:sz w:val="18"/>
                <w:szCs w:val="18"/>
                <w:vertAlign w:val="superscript"/>
                <w:lang w:val="en-GB"/>
              </w:rPr>
              <w:t>***</w:t>
            </w:r>
          </w:p>
        </w:tc>
        <w:tc>
          <w:tcPr>
            <w:tcW w:w="620" w:type="pct"/>
            <w:vAlign w:val="center"/>
          </w:tcPr>
          <w:p w14:paraId="66A9E56F" w14:textId="77777777" w:rsidR="005D7B84" w:rsidRPr="00BA50D8" w:rsidRDefault="005D7B84" w:rsidP="00975F71">
            <w:pPr>
              <w:tabs>
                <w:tab w:val="decimal" w:pos="690"/>
              </w:tabs>
              <w:rPr>
                <w:sz w:val="18"/>
                <w:szCs w:val="18"/>
                <w:lang w:val="en-GB"/>
              </w:rPr>
            </w:pPr>
            <w:r w:rsidRPr="00BA50D8">
              <w:rPr>
                <w:sz w:val="18"/>
                <w:szCs w:val="18"/>
                <w:lang w:val="en-GB"/>
              </w:rPr>
              <w:t>.24</w:t>
            </w:r>
            <w:r w:rsidRPr="00BA50D8">
              <w:rPr>
                <w:sz w:val="18"/>
                <w:szCs w:val="18"/>
                <w:vertAlign w:val="superscript"/>
                <w:lang w:val="en-GB"/>
              </w:rPr>
              <w:t>***</w:t>
            </w:r>
          </w:p>
        </w:tc>
        <w:tc>
          <w:tcPr>
            <w:tcW w:w="620" w:type="pct"/>
            <w:vAlign w:val="center"/>
          </w:tcPr>
          <w:p w14:paraId="66A9E570" w14:textId="77777777" w:rsidR="005D7B84" w:rsidRPr="00BA50D8" w:rsidRDefault="005D7B84" w:rsidP="00975F71">
            <w:pPr>
              <w:tabs>
                <w:tab w:val="decimal" w:pos="618"/>
              </w:tabs>
              <w:rPr>
                <w:sz w:val="18"/>
                <w:szCs w:val="18"/>
                <w:lang w:val="en-GB"/>
              </w:rPr>
            </w:pPr>
            <w:r w:rsidRPr="00BA50D8">
              <w:rPr>
                <w:sz w:val="18"/>
                <w:szCs w:val="18"/>
                <w:lang w:val="en-GB"/>
              </w:rPr>
              <w:t>-10</w:t>
            </w:r>
            <w:r w:rsidRPr="00BA50D8">
              <w:rPr>
                <w:sz w:val="18"/>
                <w:szCs w:val="18"/>
                <w:vertAlign w:val="superscript"/>
                <w:lang w:val="en-GB"/>
              </w:rPr>
              <w:t>*</w:t>
            </w:r>
          </w:p>
        </w:tc>
        <w:tc>
          <w:tcPr>
            <w:tcW w:w="661" w:type="pct"/>
            <w:vAlign w:val="center"/>
          </w:tcPr>
          <w:p w14:paraId="66A9E571" w14:textId="77777777" w:rsidR="005D7B84" w:rsidRPr="00BA50D8" w:rsidRDefault="005D7B84" w:rsidP="00975F71">
            <w:pPr>
              <w:tabs>
                <w:tab w:val="decimal" w:pos="690"/>
              </w:tabs>
              <w:ind w:right="95"/>
              <w:rPr>
                <w:sz w:val="18"/>
                <w:szCs w:val="18"/>
                <w:lang w:val="en-GB"/>
              </w:rPr>
            </w:pPr>
            <w:r w:rsidRPr="00BA50D8">
              <w:rPr>
                <w:sz w:val="18"/>
                <w:szCs w:val="18"/>
                <w:lang w:val="en-GB"/>
              </w:rPr>
              <w:t>-.01</w:t>
            </w:r>
          </w:p>
        </w:tc>
        <w:tc>
          <w:tcPr>
            <w:tcW w:w="686" w:type="pct"/>
            <w:vAlign w:val="center"/>
          </w:tcPr>
          <w:p w14:paraId="66A9E572" w14:textId="77777777" w:rsidR="005D7B84" w:rsidRPr="00BA50D8" w:rsidRDefault="005D7B84" w:rsidP="00975F71">
            <w:pPr>
              <w:tabs>
                <w:tab w:val="decimal" w:pos="735"/>
              </w:tabs>
              <w:ind w:right="95"/>
              <w:rPr>
                <w:sz w:val="18"/>
                <w:szCs w:val="18"/>
                <w:lang w:val="en-GB"/>
              </w:rPr>
            </w:pPr>
            <w:r w:rsidRPr="00BA50D8">
              <w:rPr>
                <w:sz w:val="18"/>
                <w:szCs w:val="18"/>
                <w:lang w:val="en-GB"/>
              </w:rPr>
              <w:t>.10</w:t>
            </w:r>
            <w:r w:rsidRPr="00BA50D8">
              <w:rPr>
                <w:sz w:val="18"/>
                <w:szCs w:val="18"/>
                <w:vertAlign w:val="superscript"/>
                <w:lang w:val="en-GB"/>
              </w:rPr>
              <w:t>*</w:t>
            </w:r>
          </w:p>
        </w:tc>
        <w:tc>
          <w:tcPr>
            <w:tcW w:w="618" w:type="pct"/>
            <w:vAlign w:val="center"/>
          </w:tcPr>
          <w:p w14:paraId="66A9E573" w14:textId="77777777" w:rsidR="005D7B84" w:rsidRPr="00BA50D8" w:rsidRDefault="005D7B84" w:rsidP="00975F71">
            <w:pPr>
              <w:tabs>
                <w:tab w:val="decimal" w:pos="585"/>
              </w:tabs>
              <w:ind w:right="95"/>
              <w:rPr>
                <w:sz w:val="18"/>
                <w:szCs w:val="18"/>
                <w:lang w:val="en-GB"/>
              </w:rPr>
            </w:pPr>
            <w:r w:rsidRPr="00BA50D8">
              <w:rPr>
                <w:sz w:val="18"/>
                <w:szCs w:val="18"/>
                <w:lang w:val="en-GB"/>
              </w:rPr>
              <w:t>.12</w:t>
            </w:r>
            <w:r w:rsidRPr="00BA50D8">
              <w:rPr>
                <w:sz w:val="18"/>
                <w:szCs w:val="18"/>
                <w:vertAlign w:val="superscript"/>
                <w:lang w:val="en-GB"/>
              </w:rPr>
              <w:t>*</w:t>
            </w:r>
          </w:p>
        </w:tc>
      </w:tr>
      <w:tr w:rsidR="005D7B84" w:rsidRPr="00BA50D8" w14:paraId="66A9E57C" w14:textId="77777777" w:rsidTr="00E905CB">
        <w:tc>
          <w:tcPr>
            <w:tcW w:w="1270" w:type="pct"/>
            <w:vAlign w:val="center"/>
          </w:tcPr>
          <w:p w14:paraId="66A9E575" w14:textId="77777777" w:rsidR="005D7B84" w:rsidRPr="00BA50D8" w:rsidRDefault="005D7B84" w:rsidP="00975F71">
            <w:pPr>
              <w:ind w:hanging="108"/>
              <w:rPr>
                <w:sz w:val="18"/>
                <w:szCs w:val="18"/>
                <w:lang w:val="en-GB"/>
              </w:rPr>
            </w:pPr>
            <w:r w:rsidRPr="00BA50D8">
              <w:rPr>
                <w:sz w:val="18"/>
                <w:szCs w:val="18"/>
                <w:lang w:val="en-GB"/>
              </w:rPr>
              <w:t xml:space="preserve">STAI: </w:t>
            </w:r>
          </w:p>
        </w:tc>
        <w:tc>
          <w:tcPr>
            <w:tcW w:w="525" w:type="pct"/>
            <w:vAlign w:val="center"/>
          </w:tcPr>
          <w:p w14:paraId="66A9E576" w14:textId="77777777" w:rsidR="005D7B84" w:rsidRPr="00BA50D8" w:rsidRDefault="005D7B84" w:rsidP="00975F71">
            <w:pPr>
              <w:tabs>
                <w:tab w:val="decimal" w:pos="705"/>
              </w:tabs>
              <w:rPr>
                <w:sz w:val="18"/>
                <w:szCs w:val="18"/>
                <w:lang w:val="en-GB"/>
              </w:rPr>
            </w:pPr>
          </w:p>
        </w:tc>
        <w:tc>
          <w:tcPr>
            <w:tcW w:w="620" w:type="pct"/>
            <w:vAlign w:val="center"/>
          </w:tcPr>
          <w:p w14:paraId="66A9E577" w14:textId="77777777" w:rsidR="005D7B84" w:rsidRPr="00BA50D8" w:rsidRDefault="005D7B84" w:rsidP="00975F71">
            <w:pPr>
              <w:tabs>
                <w:tab w:val="decimal" w:pos="690"/>
              </w:tabs>
              <w:rPr>
                <w:sz w:val="18"/>
                <w:szCs w:val="18"/>
                <w:lang w:val="en-GB"/>
              </w:rPr>
            </w:pPr>
          </w:p>
        </w:tc>
        <w:tc>
          <w:tcPr>
            <w:tcW w:w="620" w:type="pct"/>
            <w:vAlign w:val="center"/>
          </w:tcPr>
          <w:p w14:paraId="66A9E578" w14:textId="77777777" w:rsidR="005D7B84" w:rsidRPr="00BA50D8" w:rsidRDefault="005D7B84" w:rsidP="00975F71">
            <w:pPr>
              <w:tabs>
                <w:tab w:val="decimal" w:pos="618"/>
              </w:tabs>
              <w:rPr>
                <w:sz w:val="18"/>
                <w:szCs w:val="18"/>
                <w:lang w:val="en-GB"/>
              </w:rPr>
            </w:pPr>
          </w:p>
        </w:tc>
        <w:tc>
          <w:tcPr>
            <w:tcW w:w="661" w:type="pct"/>
            <w:vAlign w:val="center"/>
          </w:tcPr>
          <w:p w14:paraId="66A9E579" w14:textId="77777777" w:rsidR="005D7B84" w:rsidRPr="00BA50D8" w:rsidRDefault="005D7B84" w:rsidP="00975F71">
            <w:pPr>
              <w:tabs>
                <w:tab w:val="decimal" w:pos="690"/>
              </w:tabs>
              <w:ind w:right="95"/>
              <w:rPr>
                <w:sz w:val="18"/>
                <w:szCs w:val="18"/>
                <w:lang w:val="en-GB"/>
              </w:rPr>
            </w:pPr>
          </w:p>
        </w:tc>
        <w:tc>
          <w:tcPr>
            <w:tcW w:w="686" w:type="pct"/>
            <w:vAlign w:val="center"/>
          </w:tcPr>
          <w:p w14:paraId="66A9E57A" w14:textId="77777777" w:rsidR="005D7B84" w:rsidRPr="00BA50D8" w:rsidRDefault="005D7B84" w:rsidP="00975F71">
            <w:pPr>
              <w:tabs>
                <w:tab w:val="decimal" w:pos="735"/>
              </w:tabs>
              <w:ind w:right="95"/>
              <w:rPr>
                <w:sz w:val="18"/>
                <w:szCs w:val="18"/>
                <w:lang w:val="en-GB"/>
              </w:rPr>
            </w:pPr>
          </w:p>
        </w:tc>
        <w:tc>
          <w:tcPr>
            <w:tcW w:w="618" w:type="pct"/>
            <w:vAlign w:val="center"/>
          </w:tcPr>
          <w:p w14:paraId="66A9E57B" w14:textId="77777777" w:rsidR="005D7B84" w:rsidRPr="00BA50D8" w:rsidRDefault="005D7B84" w:rsidP="00975F71">
            <w:pPr>
              <w:tabs>
                <w:tab w:val="decimal" w:pos="585"/>
              </w:tabs>
              <w:ind w:right="95"/>
              <w:rPr>
                <w:sz w:val="18"/>
                <w:szCs w:val="18"/>
                <w:lang w:val="en-GB"/>
              </w:rPr>
            </w:pPr>
          </w:p>
        </w:tc>
      </w:tr>
      <w:tr w:rsidR="005D7B84" w:rsidRPr="00BA50D8" w14:paraId="66A9E584" w14:textId="77777777" w:rsidTr="00E905CB">
        <w:tc>
          <w:tcPr>
            <w:tcW w:w="1270" w:type="pct"/>
            <w:vAlign w:val="center"/>
          </w:tcPr>
          <w:p w14:paraId="66A9E57D" w14:textId="77777777" w:rsidR="005D7B84" w:rsidRPr="00BA50D8" w:rsidRDefault="005D7B84" w:rsidP="00975F71">
            <w:pPr>
              <w:ind w:firstLine="432"/>
              <w:rPr>
                <w:sz w:val="18"/>
                <w:szCs w:val="18"/>
                <w:lang w:val="en-GB"/>
              </w:rPr>
            </w:pPr>
            <w:r w:rsidRPr="00BA50D8">
              <w:rPr>
                <w:sz w:val="18"/>
                <w:szCs w:val="18"/>
                <w:lang w:val="en-GB"/>
              </w:rPr>
              <w:t>Trait Anxiety</w:t>
            </w:r>
          </w:p>
        </w:tc>
        <w:tc>
          <w:tcPr>
            <w:tcW w:w="525" w:type="pct"/>
            <w:vAlign w:val="center"/>
          </w:tcPr>
          <w:p w14:paraId="66A9E57E" w14:textId="77777777" w:rsidR="005D7B84" w:rsidRPr="00BA50D8" w:rsidRDefault="005D7B84" w:rsidP="00975F71">
            <w:pPr>
              <w:tabs>
                <w:tab w:val="decimal" w:pos="705"/>
              </w:tabs>
              <w:rPr>
                <w:sz w:val="18"/>
                <w:szCs w:val="18"/>
                <w:lang w:val="en-GB"/>
              </w:rPr>
            </w:pPr>
            <w:r w:rsidRPr="00BA50D8">
              <w:rPr>
                <w:sz w:val="18"/>
                <w:szCs w:val="18"/>
                <w:lang w:val="en-GB"/>
              </w:rPr>
              <w:t>.27</w:t>
            </w:r>
            <w:r w:rsidRPr="00BA50D8">
              <w:rPr>
                <w:sz w:val="18"/>
                <w:szCs w:val="18"/>
                <w:vertAlign w:val="superscript"/>
                <w:lang w:val="en-GB"/>
              </w:rPr>
              <w:t>***</w:t>
            </w:r>
          </w:p>
        </w:tc>
        <w:tc>
          <w:tcPr>
            <w:tcW w:w="620" w:type="pct"/>
            <w:vAlign w:val="center"/>
          </w:tcPr>
          <w:p w14:paraId="66A9E57F" w14:textId="77777777" w:rsidR="005D7B84" w:rsidRPr="00BA50D8" w:rsidRDefault="005D7B84" w:rsidP="00975F71">
            <w:pPr>
              <w:tabs>
                <w:tab w:val="decimal" w:pos="690"/>
              </w:tabs>
              <w:rPr>
                <w:sz w:val="18"/>
                <w:szCs w:val="18"/>
                <w:lang w:val="en-GB"/>
              </w:rPr>
            </w:pPr>
            <w:r w:rsidRPr="00BA50D8">
              <w:rPr>
                <w:sz w:val="18"/>
                <w:szCs w:val="18"/>
                <w:lang w:val="en-GB"/>
              </w:rPr>
              <w:t>.76</w:t>
            </w:r>
            <w:r w:rsidRPr="00BA50D8">
              <w:rPr>
                <w:sz w:val="18"/>
                <w:szCs w:val="18"/>
                <w:vertAlign w:val="superscript"/>
                <w:lang w:val="en-GB"/>
              </w:rPr>
              <w:t>***</w:t>
            </w:r>
          </w:p>
        </w:tc>
        <w:tc>
          <w:tcPr>
            <w:tcW w:w="620" w:type="pct"/>
            <w:vAlign w:val="center"/>
          </w:tcPr>
          <w:p w14:paraId="66A9E580" w14:textId="77777777" w:rsidR="005D7B84" w:rsidRPr="00BA50D8" w:rsidRDefault="005D7B84" w:rsidP="00975F71">
            <w:pPr>
              <w:tabs>
                <w:tab w:val="decimal" w:pos="618"/>
              </w:tabs>
              <w:rPr>
                <w:sz w:val="18"/>
                <w:szCs w:val="18"/>
                <w:lang w:val="en-GB"/>
              </w:rPr>
            </w:pPr>
            <w:r w:rsidRPr="00BA50D8">
              <w:rPr>
                <w:sz w:val="18"/>
                <w:szCs w:val="18"/>
                <w:lang w:val="en-GB"/>
              </w:rPr>
              <w:t>-34</w:t>
            </w:r>
            <w:r w:rsidRPr="00BA50D8">
              <w:rPr>
                <w:sz w:val="18"/>
                <w:szCs w:val="18"/>
                <w:vertAlign w:val="superscript"/>
                <w:lang w:val="en-GB"/>
              </w:rPr>
              <w:t>***</w:t>
            </w:r>
          </w:p>
        </w:tc>
        <w:tc>
          <w:tcPr>
            <w:tcW w:w="661" w:type="pct"/>
            <w:vAlign w:val="center"/>
          </w:tcPr>
          <w:p w14:paraId="66A9E581" w14:textId="77777777" w:rsidR="005D7B84" w:rsidRPr="00BA50D8" w:rsidRDefault="005D7B84" w:rsidP="00975F71">
            <w:pPr>
              <w:tabs>
                <w:tab w:val="decimal" w:pos="690"/>
              </w:tabs>
              <w:ind w:right="95"/>
              <w:rPr>
                <w:sz w:val="18"/>
                <w:szCs w:val="18"/>
                <w:lang w:val="en-GB"/>
              </w:rPr>
            </w:pPr>
            <w:r w:rsidRPr="00BA50D8">
              <w:rPr>
                <w:sz w:val="18"/>
                <w:szCs w:val="18"/>
                <w:lang w:val="en-GB"/>
              </w:rPr>
              <w:t>-.30</w:t>
            </w:r>
            <w:r w:rsidRPr="00BA50D8">
              <w:rPr>
                <w:sz w:val="18"/>
                <w:szCs w:val="18"/>
                <w:vertAlign w:val="superscript"/>
                <w:lang w:val="en-GB"/>
              </w:rPr>
              <w:t>***</w:t>
            </w:r>
          </w:p>
        </w:tc>
        <w:tc>
          <w:tcPr>
            <w:tcW w:w="686" w:type="pct"/>
            <w:vAlign w:val="center"/>
          </w:tcPr>
          <w:p w14:paraId="66A9E582" w14:textId="77777777" w:rsidR="005D7B84" w:rsidRPr="00BA50D8" w:rsidRDefault="005D7B84" w:rsidP="00975F71">
            <w:pPr>
              <w:tabs>
                <w:tab w:val="decimal" w:pos="735"/>
              </w:tabs>
              <w:ind w:right="95"/>
              <w:rPr>
                <w:sz w:val="18"/>
                <w:szCs w:val="18"/>
                <w:lang w:val="en-GB"/>
              </w:rPr>
            </w:pPr>
            <w:r w:rsidRPr="00BA50D8">
              <w:rPr>
                <w:sz w:val="18"/>
                <w:szCs w:val="18"/>
                <w:lang w:val="en-GB"/>
              </w:rPr>
              <w:t>-.10</w:t>
            </w:r>
            <w:r w:rsidRPr="00BA50D8">
              <w:rPr>
                <w:sz w:val="18"/>
                <w:szCs w:val="18"/>
                <w:vertAlign w:val="superscript"/>
                <w:lang w:val="en-GB"/>
              </w:rPr>
              <w:t>*</w:t>
            </w:r>
          </w:p>
        </w:tc>
        <w:tc>
          <w:tcPr>
            <w:tcW w:w="618" w:type="pct"/>
            <w:vAlign w:val="center"/>
          </w:tcPr>
          <w:p w14:paraId="66A9E583" w14:textId="77777777" w:rsidR="005D7B84" w:rsidRPr="00BA50D8" w:rsidRDefault="005D7B84" w:rsidP="00975F71">
            <w:pPr>
              <w:tabs>
                <w:tab w:val="decimal" w:pos="585"/>
              </w:tabs>
              <w:ind w:right="95"/>
              <w:rPr>
                <w:sz w:val="18"/>
                <w:szCs w:val="18"/>
                <w:lang w:val="en-GB"/>
              </w:rPr>
            </w:pPr>
            <w:r w:rsidRPr="00BA50D8">
              <w:rPr>
                <w:sz w:val="18"/>
                <w:szCs w:val="18"/>
                <w:lang w:val="en-GB"/>
              </w:rPr>
              <w:t>.05</w:t>
            </w:r>
          </w:p>
        </w:tc>
      </w:tr>
      <w:tr w:rsidR="005D7B84" w:rsidRPr="00BA50D8" w14:paraId="66A9E58C" w14:textId="77777777" w:rsidTr="00E905CB">
        <w:tc>
          <w:tcPr>
            <w:tcW w:w="1270" w:type="pct"/>
            <w:vAlign w:val="center"/>
          </w:tcPr>
          <w:p w14:paraId="66A9E585" w14:textId="77777777" w:rsidR="005D7B84" w:rsidRPr="00BA50D8" w:rsidRDefault="005D7B84" w:rsidP="00975F71">
            <w:pPr>
              <w:ind w:hanging="108"/>
              <w:rPr>
                <w:sz w:val="18"/>
                <w:szCs w:val="18"/>
                <w:lang w:val="en-GB"/>
              </w:rPr>
            </w:pPr>
            <w:r w:rsidRPr="00BA50D8">
              <w:rPr>
                <w:sz w:val="18"/>
                <w:szCs w:val="18"/>
                <w:lang w:val="en-GB"/>
              </w:rPr>
              <w:t>Age</w:t>
            </w:r>
          </w:p>
        </w:tc>
        <w:tc>
          <w:tcPr>
            <w:tcW w:w="525" w:type="pct"/>
            <w:vAlign w:val="center"/>
          </w:tcPr>
          <w:p w14:paraId="66A9E586" w14:textId="77777777" w:rsidR="005D7B84" w:rsidRPr="00BA50D8" w:rsidRDefault="005D7B84" w:rsidP="00975F71">
            <w:pPr>
              <w:tabs>
                <w:tab w:val="decimal" w:pos="705"/>
              </w:tabs>
              <w:rPr>
                <w:sz w:val="18"/>
                <w:szCs w:val="18"/>
                <w:lang w:val="en-GB"/>
              </w:rPr>
            </w:pPr>
            <w:r w:rsidRPr="00BA50D8">
              <w:rPr>
                <w:sz w:val="18"/>
                <w:szCs w:val="18"/>
                <w:lang w:val="en-GB"/>
              </w:rPr>
              <w:t>-.01</w:t>
            </w:r>
          </w:p>
        </w:tc>
        <w:tc>
          <w:tcPr>
            <w:tcW w:w="620" w:type="pct"/>
            <w:vAlign w:val="center"/>
          </w:tcPr>
          <w:p w14:paraId="66A9E587" w14:textId="77777777" w:rsidR="005D7B84" w:rsidRPr="00BA50D8" w:rsidRDefault="005D7B84" w:rsidP="00975F71">
            <w:pPr>
              <w:tabs>
                <w:tab w:val="decimal" w:pos="690"/>
              </w:tabs>
              <w:rPr>
                <w:sz w:val="18"/>
                <w:szCs w:val="18"/>
                <w:lang w:val="en-GB"/>
              </w:rPr>
            </w:pPr>
            <w:r w:rsidRPr="00BA50D8">
              <w:rPr>
                <w:sz w:val="18"/>
                <w:szCs w:val="18"/>
                <w:lang w:val="en-GB"/>
              </w:rPr>
              <w:t>-.14</w:t>
            </w:r>
            <w:r w:rsidRPr="00BA50D8">
              <w:rPr>
                <w:sz w:val="18"/>
                <w:szCs w:val="18"/>
                <w:vertAlign w:val="superscript"/>
                <w:lang w:val="en-GB"/>
              </w:rPr>
              <w:t>**</w:t>
            </w:r>
          </w:p>
        </w:tc>
        <w:tc>
          <w:tcPr>
            <w:tcW w:w="620" w:type="pct"/>
            <w:vAlign w:val="center"/>
          </w:tcPr>
          <w:p w14:paraId="66A9E588" w14:textId="77777777" w:rsidR="005D7B84" w:rsidRPr="00BA50D8" w:rsidRDefault="005D7B84" w:rsidP="00975F71">
            <w:pPr>
              <w:tabs>
                <w:tab w:val="decimal" w:pos="618"/>
              </w:tabs>
              <w:rPr>
                <w:sz w:val="18"/>
                <w:szCs w:val="18"/>
                <w:lang w:val="en-GB"/>
              </w:rPr>
            </w:pPr>
            <w:r w:rsidRPr="00BA50D8">
              <w:rPr>
                <w:sz w:val="18"/>
                <w:szCs w:val="18"/>
                <w:lang w:val="en-GB"/>
              </w:rPr>
              <w:t>.00</w:t>
            </w:r>
          </w:p>
        </w:tc>
        <w:tc>
          <w:tcPr>
            <w:tcW w:w="661" w:type="pct"/>
            <w:vAlign w:val="center"/>
          </w:tcPr>
          <w:p w14:paraId="66A9E589" w14:textId="77777777" w:rsidR="005D7B84" w:rsidRPr="00BA50D8" w:rsidRDefault="005D7B84" w:rsidP="00975F71">
            <w:pPr>
              <w:tabs>
                <w:tab w:val="decimal" w:pos="690"/>
              </w:tabs>
              <w:ind w:right="95"/>
              <w:rPr>
                <w:sz w:val="18"/>
                <w:szCs w:val="18"/>
                <w:lang w:val="en-GB"/>
              </w:rPr>
            </w:pPr>
            <w:r w:rsidRPr="00BA50D8">
              <w:rPr>
                <w:sz w:val="18"/>
                <w:szCs w:val="18"/>
                <w:lang w:val="en-GB"/>
              </w:rPr>
              <w:t>-.14</w:t>
            </w:r>
            <w:r w:rsidRPr="00BA50D8">
              <w:rPr>
                <w:sz w:val="18"/>
                <w:szCs w:val="18"/>
                <w:vertAlign w:val="superscript"/>
                <w:lang w:val="en-GB"/>
              </w:rPr>
              <w:t>**</w:t>
            </w:r>
          </w:p>
        </w:tc>
        <w:tc>
          <w:tcPr>
            <w:tcW w:w="686" w:type="pct"/>
            <w:vAlign w:val="center"/>
          </w:tcPr>
          <w:p w14:paraId="66A9E58A" w14:textId="77777777" w:rsidR="005D7B84" w:rsidRPr="00BA50D8" w:rsidRDefault="005D7B84" w:rsidP="00975F71">
            <w:pPr>
              <w:tabs>
                <w:tab w:val="decimal" w:pos="735"/>
              </w:tabs>
              <w:ind w:right="95"/>
              <w:rPr>
                <w:sz w:val="18"/>
                <w:szCs w:val="18"/>
                <w:lang w:val="en-GB"/>
              </w:rPr>
            </w:pPr>
            <w:r w:rsidRPr="00BA50D8">
              <w:rPr>
                <w:sz w:val="18"/>
                <w:szCs w:val="18"/>
                <w:lang w:val="en-GB"/>
              </w:rPr>
              <w:t>-.17</w:t>
            </w:r>
            <w:r w:rsidRPr="00BA50D8">
              <w:rPr>
                <w:sz w:val="18"/>
                <w:szCs w:val="18"/>
                <w:vertAlign w:val="superscript"/>
                <w:lang w:val="en-GB"/>
              </w:rPr>
              <w:t>***</w:t>
            </w:r>
          </w:p>
        </w:tc>
        <w:tc>
          <w:tcPr>
            <w:tcW w:w="618" w:type="pct"/>
            <w:vAlign w:val="center"/>
          </w:tcPr>
          <w:p w14:paraId="66A9E58B" w14:textId="77777777" w:rsidR="005D7B84" w:rsidRPr="00BA50D8" w:rsidRDefault="005D7B84" w:rsidP="00975F71">
            <w:pPr>
              <w:tabs>
                <w:tab w:val="decimal" w:pos="585"/>
              </w:tabs>
              <w:ind w:right="95"/>
              <w:rPr>
                <w:sz w:val="18"/>
                <w:szCs w:val="18"/>
                <w:lang w:val="en-GB"/>
              </w:rPr>
            </w:pPr>
            <w:r w:rsidRPr="00BA50D8">
              <w:rPr>
                <w:sz w:val="18"/>
                <w:szCs w:val="18"/>
                <w:lang w:val="en-GB"/>
              </w:rPr>
              <w:t>.04</w:t>
            </w:r>
          </w:p>
        </w:tc>
      </w:tr>
      <w:tr w:rsidR="005D7B84" w:rsidRPr="00BA50D8" w14:paraId="66A9E594" w14:textId="77777777" w:rsidTr="00E905CB">
        <w:tc>
          <w:tcPr>
            <w:tcW w:w="1270" w:type="pct"/>
            <w:tcBorders>
              <w:bottom w:val="single" w:sz="4" w:space="0" w:color="auto"/>
            </w:tcBorders>
            <w:vAlign w:val="center"/>
          </w:tcPr>
          <w:p w14:paraId="66A9E58D" w14:textId="77777777" w:rsidR="005D7B84" w:rsidRPr="00BA50D8" w:rsidRDefault="005D7B84" w:rsidP="00975F71">
            <w:pPr>
              <w:ind w:hanging="108"/>
              <w:rPr>
                <w:sz w:val="18"/>
                <w:szCs w:val="18"/>
                <w:lang w:val="en-GB"/>
              </w:rPr>
            </w:pPr>
            <w:r w:rsidRPr="00BA50D8">
              <w:rPr>
                <w:sz w:val="18"/>
                <w:szCs w:val="18"/>
                <w:lang w:val="en-GB"/>
              </w:rPr>
              <w:t>Gender</w:t>
            </w:r>
          </w:p>
        </w:tc>
        <w:tc>
          <w:tcPr>
            <w:tcW w:w="525" w:type="pct"/>
            <w:tcBorders>
              <w:bottom w:val="single" w:sz="4" w:space="0" w:color="auto"/>
            </w:tcBorders>
            <w:vAlign w:val="center"/>
          </w:tcPr>
          <w:p w14:paraId="66A9E58E" w14:textId="77777777" w:rsidR="005D7B84" w:rsidRPr="00BA50D8" w:rsidRDefault="005D7B84" w:rsidP="00975F71">
            <w:pPr>
              <w:tabs>
                <w:tab w:val="decimal" w:pos="705"/>
              </w:tabs>
              <w:rPr>
                <w:sz w:val="18"/>
                <w:szCs w:val="18"/>
                <w:lang w:val="en-GB"/>
              </w:rPr>
            </w:pPr>
            <w:r w:rsidRPr="00BA50D8">
              <w:rPr>
                <w:sz w:val="18"/>
                <w:szCs w:val="18"/>
                <w:lang w:val="en-GB"/>
              </w:rPr>
              <w:t>.44</w:t>
            </w:r>
            <w:r w:rsidRPr="00BA50D8">
              <w:rPr>
                <w:sz w:val="18"/>
                <w:szCs w:val="18"/>
                <w:vertAlign w:val="superscript"/>
                <w:lang w:val="en-GB"/>
              </w:rPr>
              <w:t>***</w:t>
            </w:r>
          </w:p>
        </w:tc>
        <w:tc>
          <w:tcPr>
            <w:tcW w:w="620" w:type="pct"/>
            <w:tcBorders>
              <w:bottom w:val="single" w:sz="4" w:space="0" w:color="auto"/>
            </w:tcBorders>
            <w:vAlign w:val="center"/>
          </w:tcPr>
          <w:p w14:paraId="66A9E58F" w14:textId="77777777" w:rsidR="005D7B84" w:rsidRPr="00BA50D8" w:rsidRDefault="005D7B84" w:rsidP="00975F71">
            <w:pPr>
              <w:tabs>
                <w:tab w:val="decimal" w:pos="690"/>
              </w:tabs>
              <w:rPr>
                <w:sz w:val="18"/>
                <w:szCs w:val="18"/>
                <w:lang w:val="en-GB"/>
              </w:rPr>
            </w:pPr>
            <w:r w:rsidRPr="00BA50D8">
              <w:rPr>
                <w:sz w:val="18"/>
                <w:szCs w:val="18"/>
                <w:lang w:val="en-GB"/>
              </w:rPr>
              <w:t>.23</w:t>
            </w:r>
            <w:r w:rsidRPr="00BA50D8">
              <w:rPr>
                <w:sz w:val="18"/>
                <w:szCs w:val="18"/>
                <w:vertAlign w:val="superscript"/>
                <w:lang w:val="en-GB"/>
              </w:rPr>
              <w:t>***</w:t>
            </w:r>
          </w:p>
        </w:tc>
        <w:tc>
          <w:tcPr>
            <w:tcW w:w="620" w:type="pct"/>
            <w:tcBorders>
              <w:bottom w:val="single" w:sz="4" w:space="0" w:color="auto"/>
            </w:tcBorders>
            <w:vAlign w:val="center"/>
          </w:tcPr>
          <w:p w14:paraId="66A9E590" w14:textId="77777777" w:rsidR="005D7B84" w:rsidRPr="00BA50D8" w:rsidRDefault="005D7B84" w:rsidP="00975F71">
            <w:pPr>
              <w:tabs>
                <w:tab w:val="decimal" w:pos="618"/>
              </w:tabs>
              <w:rPr>
                <w:sz w:val="18"/>
                <w:szCs w:val="18"/>
                <w:lang w:val="en-GB"/>
              </w:rPr>
            </w:pPr>
            <w:r w:rsidRPr="00BA50D8">
              <w:rPr>
                <w:sz w:val="18"/>
                <w:szCs w:val="18"/>
                <w:lang w:val="en-GB"/>
              </w:rPr>
              <w:t>.06</w:t>
            </w:r>
          </w:p>
        </w:tc>
        <w:tc>
          <w:tcPr>
            <w:tcW w:w="661" w:type="pct"/>
            <w:tcBorders>
              <w:bottom w:val="single" w:sz="4" w:space="0" w:color="auto"/>
            </w:tcBorders>
            <w:vAlign w:val="center"/>
          </w:tcPr>
          <w:p w14:paraId="66A9E591" w14:textId="77777777" w:rsidR="005D7B84" w:rsidRPr="00BA50D8" w:rsidRDefault="005D7B84" w:rsidP="00975F71">
            <w:pPr>
              <w:tabs>
                <w:tab w:val="decimal" w:pos="690"/>
              </w:tabs>
              <w:ind w:right="95"/>
              <w:rPr>
                <w:sz w:val="18"/>
                <w:szCs w:val="18"/>
                <w:lang w:val="en-GB"/>
              </w:rPr>
            </w:pPr>
            <w:r w:rsidRPr="00BA50D8">
              <w:rPr>
                <w:sz w:val="18"/>
                <w:szCs w:val="18"/>
                <w:lang w:val="en-GB"/>
              </w:rPr>
              <w:t>.05</w:t>
            </w:r>
          </w:p>
        </w:tc>
        <w:tc>
          <w:tcPr>
            <w:tcW w:w="686" w:type="pct"/>
            <w:tcBorders>
              <w:bottom w:val="single" w:sz="4" w:space="0" w:color="auto"/>
            </w:tcBorders>
            <w:vAlign w:val="center"/>
          </w:tcPr>
          <w:p w14:paraId="66A9E592" w14:textId="77777777" w:rsidR="005D7B84" w:rsidRPr="00BA50D8" w:rsidRDefault="005D7B84" w:rsidP="00975F71">
            <w:pPr>
              <w:tabs>
                <w:tab w:val="decimal" w:pos="735"/>
              </w:tabs>
              <w:ind w:right="95"/>
              <w:rPr>
                <w:sz w:val="18"/>
                <w:szCs w:val="18"/>
                <w:lang w:val="en-GB"/>
              </w:rPr>
            </w:pPr>
            <w:r w:rsidRPr="00BA50D8">
              <w:rPr>
                <w:sz w:val="18"/>
                <w:szCs w:val="18"/>
                <w:lang w:val="en-GB"/>
              </w:rPr>
              <w:t>.21</w:t>
            </w:r>
            <w:r w:rsidRPr="00BA50D8">
              <w:rPr>
                <w:sz w:val="18"/>
                <w:szCs w:val="18"/>
                <w:vertAlign w:val="superscript"/>
                <w:lang w:val="en-GB"/>
              </w:rPr>
              <w:t>***</w:t>
            </w:r>
          </w:p>
        </w:tc>
        <w:tc>
          <w:tcPr>
            <w:tcW w:w="618" w:type="pct"/>
            <w:tcBorders>
              <w:bottom w:val="single" w:sz="4" w:space="0" w:color="auto"/>
            </w:tcBorders>
            <w:vAlign w:val="center"/>
          </w:tcPr>
          <w:p w14:paraId="66A9E593" w14:textId="77777777" w:rsidR="005D7B84" w:rsidRPr="00BA50D8" w:rsidRDefault="005D7B84" w:rsidP="00975F71">
            <w:pPr>
              <w:tabs>
                <w:tab w:val="decimal" w:pos="585"/>
              </w:tabs>
              <w:ind w:right="95"/>
              <w:rPr>
                <w:sz w:val="18"/>
                <w:szCs w:val="18"/>
                <w:lang w:val="en-GB"/>
              </w:rPr>
            </w:pPr>
            <w:r w:rsidRPr="00BA50D8">
              <w:rPr>
                <w:sz w:val="18"/>
                <w:szCs w:val="18"/>
                <w:lang w:val="en-GB"/>
              </w:rPr>
              <w:t>.20</w:t>
            </w:r>
            <w:r w:rsidRPr="00BA50D8">
              <w:rPr>
                <w:sz w:val="18"/>
                <w:szCs w:val="18"/>
                <w:vertAlign w:val="superscript"/>
                <w:lang w:val="en-GB"/>
              </w:rPr>
              <w:t>***</w:t>
            </w:r>
          </w:p>
        </w:tc>
      </w:tr>
    </w:tbl>
    <w:p w14:paraId="66A9E595" w14:textId="77777777" w:rsidR="00C80DE1" w:rsidRPr="00262711" w:rsidRDefault="00C80DE1" w:rsidP="00DF14C0">
      <w:pPr>
        <w:spacing w:line="360" w:lineRule="auto"/>
        <w:jc w:val="center"/>
        <w:rPr>
          <w:i/>
          <w:sz w:val="16"/>
          <w:szCs w:val="16"/>
          <w:lang w:val="en-GB"/>
        </w:rPr>
      </w:pPr>
    </w:p>
    <w:p w14:paraId="66A9E596" w14:textId="77777777" w:rsidR="009418CD" w:rsidRPr="00262711" w:rsidRDefault="00C80DE1" w:rsidP="00E11C11">
      <w:pPr>
        <w:spacing w:line="480" w:lineRule="auto"/>
        <w:ind w:left="-181"/>
        <w:rPr>
          <w:sz w:val="20"/>
          <w:szCs w:val="20"/>
          <w:lang w:val="en-GB"/>
        </w:rPr>
      </w:pPr>
      <w:r w:rsidRPr="00262711">
        <w:rPr>
          <w:i/>
          <w:sz w:val="20"/>
          <w:szCs w:val="20"/>
          <w:lang w:val="en-GB"/>
        </w:rPr>
        <w:t xml:space="preserve">Note. </w:t>
      </w:r>
      <w:r w:rsidR="00444283" w:rsidRPr="00262711">
        <w:rPr>
          <w:i/>
          <w:sz w:val="20"/>
          <w:szCs w:val="20"/>
          <w:lang w:val="en-GB"/>
        </w:rPr>
        <w:t>N</w:t>
      </w:r>
      <w:r w:rsidR="00444283" w:rsidRPr="00262711">
        <w:rPr>
          <w:sz w:val="20"/>
          <w:szCs w:val="20"/>
          <w:lang w:val="en-GB"/>
        </w:rPr>
        <w:t xml:space="preserve"> = 526 for the FSS, N=527 for all other correlations</w:t>
      </w:r>
      <w:r w:rsidRPr="00262711">
        <w:rPr>
          <w:sz w:val="20"/>
          <w:szCs w:val="20"/>
          <w:lang w:val="en-GB"/>
        </w:rPr>
        <w:t xml:space="preserve">; </w:t>
      </w:r>
      <w:r w:rsidR="00BA50D8">
        <w:rPr>
          <w:sz w:val="20"/>
          <w:szCs w:val="20"/>
          <w:lang w:val="en-GB"/>
        </w:rPr>
        <w:t xml:space="preserve">BIS-11 = Barratt Impulsiveness Scale; </w:t>
      </w:r>
      <w:r w:rsidR="00B15621">
        <w:rPr>
          <w:sz w:val="20"/>
          <w:szCs w:val="20"/>
          <w:lang w:val="en-GB"/>
        </w:rPr>
        <w:t xml:space="preserve">BIS = Behavioural Inhibition System; </w:t>
      </w:r>
      <w:r w:rsidRPr="00262711">
        <w:rPr>
          <w:sz w:val="20"/>
          <w:szCs w:val="20"/>
          <w:lang w:val="en-GB"/>
        </w:rPr>
        <w:t>FFFS = Flight-Fight-Freeze System; BAS = Behavio</w:t>
      </w:r>
      <w:r w:rsidR="006C1399">
        <w:rPr>
          <w:sz w:val="20"/>
          <w:szCs w:val="20"/>
          <w:lang w:val="en-GB"/>
        </w:rPr>
        <w:t>u</w:t>
      </w:r>
      <w:r w:rsidRPr="00262711">
        <w:rPr>
          <w:sz w:val="20"/>
          <w:szCs w:val="20"/>
          <w:lang w:val="en-GB"/>
        </w:rPr>
        <w:t>ral Approach System; RI = Reward Interest; GDP = Goal-Drive Persistence; RR= Reward Reacti</w:t>
      </w:r>
      <w:r w:rsidR="00DE616E" w:rsidRPr="00262711">
        <w:rPr>
          <w:sz w:val="20"/>
          <w:szCs w:val="20"/>
          <w:lang w:val="en-GB"/>
        </w:rPr>
        <w:t>vity; Imp = Impulsivity</w:t>
      </w:r>
      <w:r w:rsidRPr="00262711">
        <w:rPr>
          <w:sz w:val="20"/>
          <w:szCs w:val="20"/>
          <w:lang w:val="en-GB"/>
        </w:rPr>
        <w:t xml:space="preserve">. </w:t>
      </w:r>
    </w:p>
    <w:p w14:paraId="66A9E597" w14:textId="77777777" w:rsidR="00CE0E6B" w:rsidRDefault="00912A13" w:rsidP="00BA50D8">
      <w:pPr>
        <w:spacing w:line="480" w:lineRule="auto"/>
        <w:ind w:left="-181"/>
        <w:rPr>
          <w:rFonts w:cs="Calibri"/>
          <w:iCs/>
          <w:sz w:val="20"/>
          <w:szCs w:val="20"/>
          <w:lang w:val="en-GB"/>
        </w:rPr>
      </w:pPr>
      <w:r w:rsidRPr="00262711">
        <w:rPr>
          <w:rFonts w:cs="Calibri"/>
          <w:iCs/>
          <w:sz w:val="20"/>
          <w:szCs w:val="20"/>
          <w:lang w:val="en-GB"/>
        </w:rPr>
        <w:t>* p &lt; .05. ** p &lt; .01. *** p &lt; .001.</w:t>
      </w:r>
    </w:p>
    <w:p w14:paraId="66A9E598" w14:textId="77777777" w:rsidR="00BA50D8" w:rsidRDefault="00BA50D8" w:rsidP="00BA50D8">
      <w:pPr>
        <w:spacing w:line="480" w:lineRule="auto"/>
        <w:ind w:left="-181"/>
        <w:rPr>
          <w:rFonts w:cs="Calibri"/>
          <w:iCs/>
          <w:sz w:val="20"/>
          <w:szCs w:val="20"/>
          <w:lang w:val="en-GB"/>
        </w:rPr>
      </w:pPr>
    </w:p>
    <w:p w14:paraId="66A9E599" w14:textId="77777777" w:rsidR="00380A4B" w:rsidRDefault="00380A4B">
      <w:pPr>
        <w:rPr>
          <w:lang w:val="en-GB"/>
        </w:rPr>
      </w:pPr>
      <w:r>
        <w:rPr>
          <w:lang w:val="en-GB"/>
        </w:rPr>
        <w:br w:type="page"/>
      </w:r>
    </w:p>
    <w:p w14:paraId="66A9E59A" w14:textId="77777777" w:rsidR="00B173A7" w:rsidRPr="00065B92" w:rsidRDefault="00380A4B" w:rsidP="00065B92">
      <w:pPr>
        <w:pStyle w:val="Caption"/>
        <w:spacing w:before="0" w:after="0" w:line="480" w:lineRule="auto"/>
        <w:rPr>
          <w:rFonts w:asciiTheme="majorBidi" w:hAnsiTheme="majorBidi"/>
          <w:b w:val="0"/>
          <w:iCs/>
          <w:color w:val="000000" w:themeColor="text1"/>
          <w:sz w:val="24"/>
          <w:szCs w:val="24"/>
          <w:lang w:val="en-GB"/>
        </w:rPr>
      </w:pPr>
      <w:r w:rsidRPr="00065B92">
        <w:rPr>
          <w:b w:val="0"/>
          <w:sz w:val="24"/>
          <w:szCs w:val="24"/>
        </w:rPr>
        <w:lastRenderedPageBreak/>
        <w:t xml:space="preserve">Table </w:t>
      </w:r>
      <w:r w:rsidR="00534431" w:rsidRPr="00534431">
        <w:rPr>
          <w:b w:val="0"/>
          <w:sz w:val="24"/>
          <w:szCs w:val="24"/>
        </w:rPr>
        <w:t>5</w:t>
      </w:r>
      <w:r w:rsidRPr="00065B92">
        <w:rPr>
          <w:rFonts w:asciiTheme="majorBidi" w:hAnsiTheme="majorBidi"/>
          <w:b w:val="0"/>
          <w:iCs/>
          <w:color w:val="000000" w:themeColor="text1"/>
          <w:sz w:val="24"/>
          <w:szCs w:val="24"/>
          <w:lang w:val="en-GB"/>
        </w:rPr>
        <w:tab/>
      </w:r>
    </w:p>
    <w:p w14:paraId="66A9E59B" w14:textId="77777777" w:rsidR="00380A4B" w:rsidRPr="00065B92" w:rsidRDefault="00380A4B" w:rsidP="00065B92">
      <w:pPr>
        <w:pStyle w:val="Caption"/>
        <w:spacing w:before="0" w:after="0" w:line="480" w:lineRule="auto"/>
        <w:rPr>
          <w:i/>
          <w:sz w:val="24"/>
          <w:szCs w:val="24"/>
        </w:rPr>
      </w:pPr>
      <w:r w:rsidRPr="00065B92">
        <w:rPr>
          <w:rFonts w:asciiTheme="majorBidi" w:hAnsiTheme="majorBidi"/>
          <w:b w:val="0"/>
          <w:i/>
          <w:iCs/>
          <w:color w:val="000000" w:themeColor="text1"/>
          <w:sz w:val="24"/>
          <w:szCs w:val="24"/>
          <w:lang w:val="en-GB"/>
        </w:rPr>
        <w:t>Fit</w:t>
      </w:r>
      <w:r w:rsidR="00414055">
        <w:rPr>
          <w:rFonts w:asciiTheme="majorBidi" w:hAnsiTheme="majorBidi"/>
          <w:b w:val="0"/>
          <w:i/>
          <w:iCs/>
          <w:color w:val="000000" w:themeColor="text1"/>
          <w:sz w:val="24"/>
          <w:szCs w:val="24"/>
          <w:lang w:val="en-GB"/>
        </w:rPr>
        <w:t xml:space="preserve"> Indices of the four</w:t>
      </w:r>
      <w:r w:rsidR="00414055" w:rsidRPr="00414055">
        <w:rPr>
          <w:rFonts w:asciiTheme="majorBidi" w:hAnsiTheme="majorBidi"/>
          <w:b w:val="0"/>
          <w:i/>
          <w:iCs/>
          <w:color w:val="000000" w:themeColor="text1"/>
          <w:sz w:val="24"/>
          <w:szCs w:val="24"/>
          <w:lang w:val="en-GB"/>
        </w:rPr>
        <w:t xml:space="preserve"> tested CFA</w:t>
      </w:r>
      <w:r w:rsidR="00414055">
        <w:rPr>
          <w:rFonts w:asciiTheme="majorBidi" w:hAnsiTheme="majorBidi"/>
          <w:b w:val="0"/>
          <w:i/>
          <w:iCs/>
          <w:color w:val="000000" w:themeColor="text1"/>
          <w:sz w:val="24"/>
          <w:szCs w:val="24"/>
          <w:lang w:val="en-GB"/>
        </w:rPr>
        <w:t xml:space="preserve"> MIMIC </w:t>
      </w:r>
      <w:r w:rsidRPr="00065B92">
        <w:rPr>
          <w:rFonts w:asciiTheme="majorBidi" w:hAnsiTheme="majorBidi"/>
          <w:b w:val="0"/>
          <w:i/>
          <w:iCs/>
          <w:color w:val="000000" w:themeColor="text1"/>
          <w:sz w:val="24"/>
          <w:szCs w:val="24"/>
          <w:lang w:val="en-GB"/>
        </w:rPr>
        <w:t xml:space="preserve">models </w:t>
      </w:r>
    </w:p>
    <w:tbl>
      <w:tblPr>
        <w:tblStyle w:val="Tabellenraster1"/>
        <w:tblW w:w="9072" w:type="dxa"/>
        <w:tblLayout w:type="fixed"/>
        <w:tblLook w:val="04A0" w:firstRow="1" w:lastRow="0" w:firstColumn="1" w:lastColumn="0" w:noHBand="0" w:noVBand="1"/>
      </w:tblPr>
      <w:tblGrid>
        <w:gridCol w:w="3544"/>
        <w:gridCol w:w="1276"/>
        <w:gridCol w:w="992"/>
        <w:gridCol w:w="851"/>
        <w:gridCol w:w="850"/>
        <w:gridCol w:w="1559"/>
      </w:tblGrid>
      <w:tr w:rsidR="00380A4B" w:rsidRPr="00EF73FE" w14:paraId="66A9E5A2" w14:textId="77777777" w:rsidTr="00065B92">
        <w:trPr>
          <w:trHeight w:val="454"/>
        </w:trPr>
        <w:tc>
          <w:tcPr>
            <w:tcW w:w="3544" w:type="dxa"/>
            <w:tcBorders>
              <w:top w:val="single" w:sz="12" w:space="0" w:color="auto"/>
              <w:left w:val="nil"/>
              <w:bottom w:val="single" w:sz="4" w:space="0" w:color="auto"/>
              <w:right w:val="nil"/>
            </w:tcBorders>
            <w:vAlign w:val="center"/>
          </w:tcPr>
          <w:p w14:paraId="66A9E59C" w14:textId="77777777" w:rsidR="00380A4B" w:rsidRPr="00500554" w:rsidRDefault="00380A4B" w:rsidP="00380A4B">
            <w:pPr>
              <w:autoSpaceDE w:val="0"/>
              <w:autoSpaceDN w:val="0"/>
              <w:adjustRightInd w:val="0"/>
              <w:rPr>
                <w:rFonts w:asciiTheme="majorBidi" w:hAnsiTheme="majorBidi"/>
                <w:sz w:val="18"/>
                <w:szCs w:val="18"/>
                <w:lang w:val="en-GB"/>
              </w:rPr>
            </w:pPr>
            <w:r>
              <w:rPr>
                <w:rFonts w:asciiTheme="majorBidi" w:hAnsiTheme="majorBidi"/>
                <w:sz w:val="18"/>
                <w:szCs w:val="18"/>
                <w:lang w:val="en-GB"/>
              </w:rPr>
              <w:t>CFA model</w:t>
            </w:r>
          </w:p>
        </w:tc>
        <w:tc>
          <w:tcPr>
            <w:tcW w:w="1276" w:type="dxa"/>
            <w:tcBorders>
              <w:top w:val="single" w:sz="12" w:space="0" w:color="auto"/>
              <w:left w:val="nil"/>
              <w:bottom w:val="single" w:sz="4" w:space="0" w:color="auto"/>
              <w:right w:val="nil"/>
            </w:tcBorders>
            <w:vAlign w:val="center"/>
          </w:tcPr>
          <w:p w14:paraId="66A9E59D" w14:textId="77777777" w:rsidR="00380A4B" w:rsidRPr="002D5071" w:rsidRDefault="00380A4B" w:rsidP="00380A4B">
            <w:pPr>
              <w:autoSpaceDE w:val="0"/>
              <w:autoSpaceDN w:val="0"/>
              <w:adjustRightInd w:val="0"/>
              <w:jc w:val="center"/>
              <w:rPr>
                <w:rFonts w:asciiTheme="majorBidi" w:hAnsiTheme="majorBidi"/>
                <w:sz w:val="18"/>
                <w:szCs w:val="18"/>
                <w:lang w:val="en-GB"/>
              </w:rPr>
            </w:pPr>
            <m:oMathPara>
              <m:oMath>
                <m:r>
                  <w:rPr>
                    <w:rFonts w:ascii="Cambria Math" w:hAnsi="Cambria Math"/>
                    <w:sz w:val="18"/>
                    <w:szCs w:val="18"/>
                    <w:lang w:val="en-GB"/>
                  </w:rPr>
                  <m:t>Χ²</m:t>
                </m:r>
              </m:oMath>
            </m:oMathPara>
          </w:p>
        </w:tc>
        <w:tc>
          <w:tcPr>
            <w:tcW w:w="992" w:type="dxa"/>
            <w:tcBorders>
              <w:top w:val="single" w:sz="12" w:space="0" w:color="auto"/>
              <w:left w:val="nil"/>
              <w:bottom w:val="single" w:sz="4" w:space="0" w:color="auto"/>
              <w:right w:val="nil"/>
            </w:tcBorders>
            <w:vAlign w:val="center"/>
          </w:tcPr>
          <w:p w14:paraId="66A9E59E" w14:textId="77777777" w:rsidR="00380A4B" w:rsidRPr="002D5071" w:rsidRDefault="00380A4B" w:rsidP="00380A4B">
            <w:pPr>
              <w:autoSpaceDE w:val="0"/>
              <w:autoSpaceDN w:val="0"/>
              <w:adjustRightInd w:val="0"/>
              <w:jc w:val="center"/>
              <w:rPr>
                <w:rFonts w:asciiTheme="majorBidi" w:hAnsiTheme="majorBidi"/>
                <w:bCs/>
                <w:sz w:val="18"/>
                <w:szCs w:val="18"/>
                <w:lang w:val="en-GB"/>
              </w:rPr>
            </w:pPr>
            <w:r w:rsidRPr="002D5071">
              <w:rPr>
                <w:rFonts w:asciiTheme="majorBidi" w:hAnsiTheme="majorBidi"/>
                <w:i/>
                <w:sz w:val="18"/>
                <w:szCs w:val="18"/>
                <w:lang w:val="en-GB"/>
              </w:rPr>
              <w:t>df</w:t>
            </w:r>
          </w:p>
        </w:tc>
        <w:tc>
          <w:tcPr>
            <w:tcW w:w="851" w:type="dxa"/>
            <w:tcBorders>
              <w:top w:val="single" w:sz="12" w:space="0" w:color="auto"/>
              <w:left w:val="nil"/>
              <w:bottom w:val="single" w:sz="4" w:space="0" w:color="auto"/>
              <w:right w:val="nil"/>
            </w:tcBorders>
            <w:vAlign w:val="center"/>
          </w:tcPr>
          <w:p w14:paraId="66A9E59F" w14:textId="77777777" w:rsidR="00380A4B" w:rsidRPr="002D5071" w:rsidRDefault="00380A4B" w:rsidP="00380A4B">
            <w:pPr>
              <w:autoSpaceDE w:val="0"/>
              <w:autoSpaceDN w:val="0"/>
              <w:adjustRightInd w:val="0"/>
              <w:jc w:val="center"/>
              <w:rPr>
                <w:rFonts w:asciiTheme="majorBidi" w:hAnsiTheme="majorBidi"/>
                <w:sz w:val="18"/>
                <w:szCs w:val="18"/>
                <w:lang w:val="en-GB"/>
              </w:rPr>
            </w:pPr>
            <w:r w:rsidRPr="002D5071">
              <w:rPr>
                <w:rFonts w:asciiTheme="majorBidi" w:hAnsiTheme="majorBidi"/>
                <w:sz w:val="18"/>
                <w:szCs w:val="18"/>
                <w:lang w:val="en-GB"/>
              </w:rPr>
              <w:t>CFI</w:t>
            </w:r>
          </w:p>
        </w:tc>
        <w:tc>
          <w:tcPr>
            <w:tcW w:w="850" w:type="dxa"/>
            <w:tcBorders>
              <w:top w:val="single" w:sz="12" w:space="0" w:color="auto"/>
              <w:left w:val="nil"/>
              <w:bottom w:val="single" w:sz="4" w:space="0" w:color="auto"/>
              <w:right w:val="nil"/>
            </w:tcBorders>
            <w:vAlign w:val="center"/>
          </w:tcPr>
          <w:p w14:paraId="66A9E5A0" w14:textId="77777777" w:rsidR="00380A4B" w:rsidRPr="002D5071" w:rsidRDefault="00380A4B" w:rsidP="00380A4B">
            <w:pPr>
              <w:autoSpaceDE w:val="0"/>
              <w:autoSpaceDN w:val="0"/>
              <w:adjustRightInd w:val="0"/>
              <w:jc w:val="center"/>
              <w:rPr>
                <w:rFonts w:asciiTheme="majorBidi" w:hAnsiTheme="majorBidi"/>
                <w:bCs/>
                <w:sz w:val="18"/>
                <w:szCs w:val="18"/>
                <w:lang w:val="en-GB"/>
              </w:rPr>
            </w:pPr>
            <w:r w:rsidRPr="002D5071">
              <w:rPr>
                <w:rFonts w:asciiTheme="majorBidi" w:hAnsiTheme="majorBidi"/>
                <w:bCs/>
                <w:sz w:val="18"/>
                <w:szCs w:val="18"/>
                <w:lang w:val="en-GB"/>
              </w:rPr>
              <w:t>RMSEA</w:t>
            </w:r>
          </w:p>
        </w:tc>
        <w:tc>
          <w:tcPr>
            <w:tcW w:w="1559" w:type="dxa"/>
            <w:tcBorders>
              <w:top w:val="single" w:sz="12" w:space="0" w:color="auto"/>
              <w:left w:val="nil"/>
              <w:bottom w:val="single" w:sz="4" w:space="0" w:color="auto"/>
              <w:right w:val="nil"/>
            </w:tcBorders>
            <w:vAlign w:val="center"/>
          </w:tcPr>
          <w:p w14:paraId="66A9E5A1" w14:textId="77777777" w:rsidR="00380A4B" w:rsidRPr="002D5071" w:rsidRDefault="002522FA" w:rsidP="00380A4B">
            <w:pPr>
              <w:autoSpaceDE w:val="0"/>
              <w:autoSpaceDN w:val="0"/>
              <w:adjustRightInd w:val="0"/>
              <w:jc w:val="center"/>
              <w:rPr>
                <w:rFonts w:asciiTheme="majorBidi" w:hAnsiTheme="majorBidi"/>
                <w:sz w:val="18"/>
                <w:szCs w:val="18"/>
                <w:lang w:val="en-GB"/>
              </w:rPr>
            </w:pPr>
            <m:oMath>
              <m:sSup>
                <m:sSupPr>
                  <m:ctrlPr>
                    <w:rPr>
                      <w:rFonts w:ascii="Cambria Math" w:hAnsi="Cambria Math"/>
                      <w:i/>
                      <w:sz w:val="18"/>
                      <w:szCs w:val="18"/>
                      <w:lang w:val="en-GB"/>
                    </w:rPr>
                  </m:ctrlPr>
                </m:sSupPr>
                <m:e>
                  <m:r>
                    <w:rPr>
                      <w:rFonts w:ascii="Cambria Math" w:hAnsi="Cambria Math"/>
                      <w:sz w:val="18"/>
                      <w:szCs w:val="18"/>
                      <w:lang w:val="en-GB"/>
                    </w:rPr>
                    <m:t>Χ</m:t>
                  </m:r>
                </m:e>
                <m:sup>
                  <m:r>
                    <w:rPr>
                      <w:rFonts w:ascii="Cambria Math" w:hAnsi="Cambria Math"/>
                      <w:sz w:val="18"/>
                      <w:szCs w:val="18"/>
                      <w:lang w:val="en-GB"/>
                    </w:rPr>
                    <m:t>2</m:t>
                  </m:r>
                </m:sup>
              </m:sSup>
              <m:r>
                <w:rPr>
                  <w:rFonts w:ascii="Cambria Math" w:hAnsi="Cambria Math"/>
                  <w:sz w:val="18"/>
                  <w:szCs w:val="18"/>
                  <w:lang w:val="en-GB"/>
                </w:rPr>
                <m:t xml:space="preserve"> </m:t>
              </m:r>
            </m:oMath>
            <w:r w:rsidR="00380A4B" w:rsidRPr="002D5071">
              <w:rPr>
                <w:rFonts w:asciiTheme="majorBidi" w:hAnsiTheme="majorBidi"/>
                <w:sz w:val="18"/>
                <w:szCs w:val="18"/>
                <w:lang w:val="en-GB"/>
              </w:rPr>
              <w:t>differ</w:t>
            </w:r>
            <w:r w:rsidR="00014355">
              <w:rPr>
                <w:rFonts w:asciiTheme="majorBidi" w:hAnsiTheme="majorBidi"/>
                <w:sz w:val="18"/>
                <w:szCs w:val="18"/>
                <w:lang w:val="en-GB"/>
              </w:rPr>
              <w:t>e</w:t>
            </w:r>
            <w:r w:rsidR="00380A4B" w:rsidRPr="002D5071">
              <w:rPr>
                <w:rFonts w:asciiTheme="majorBidi" w:hAnsiTheme="majorBidi"/>
                <w:sz w:val="18"/>
                <w:szCs w:val="18"/>
                <w:lang w:val="en-GB"/>
              </w:rPr>
              <w:t>nce test</w:t>
            </w:r>
          </w:p>
        </w:tc>
      </w:tr>
      <w:tr w:rsidR="00380A4B" w:rsidRPr="00EF73FE" w14:paraId="66A9E5AA" w14:textId="77777777" w:rsidTr="00065B92">
        <w:trPr>
          <w:trHeight w:val="454"/>
        </w:trPr>
        <w:tc>
          <w:tcPr>
            <w:tcW w:w="3544" w:type="dxa"/>
            <w:tcBorders>
              <w:top w:val="single" w:sz="4" w:space="0" w:color="auto"/>
              <w:left w:val="nil"/>
              <w:bottom w:val="nil"/>
              <w:right w:val="nil"/>
            </w:tcBorders>
            <w:vAlign w:val="center"/>
          </w:tcPr>
          <w:p w14:paraId="66A9E5A3" w14:textId="77777777" w:rsidR="00380A4B" w:rsidRPr="00500554" w:rsidRDefault="00380A4B" w:rsidP="00380A4B">
            <w:pPr>
              <w:autoSpaceDE w:val="0"/>
              <w:autoSpaceDN w:val="0"/>
              <w:adjustRightInd w:val="0"/>
              <w:rPr>
                <w:rFonts w:asciiTheme="majorBidi" w:hAnsiTheme="majorBidi"/>
                <w:sz w:val="18"/>
                <w:szCs w:val="18"/>
                <w:lang w:val="en-GB"/>
              </w:rPr>
            </w:pPr>
            <w:r w:rsidRPr="00500554">
              <w:rPr>
                <w:rFonts w:asciiTheme="majorBidi" w:hAnsiTheme="majorBidi"/>
                <w:sz w:val="18"/>
                <w:szCs w:val="18"/>
                <w:lang w:val="en-GB"/>
              </w:rPr>
              <w:t>Model 1:</w:t>
            </w:r>
          </w:p>
          <w:p w14:paraId="66A9E5A4" w14:textId="77777777" w:rsidR="00380A4B" w:rsidRPr="00500554" w:rsidRDefault="00380A4B" w:rsidP="00380A4B">
            <w:pPr>
              <w:autoSpaceDE w:val="0"/>
              <w:autoSpaceDN w:val="0"/>
              <w:adjustRightInd w:val="0"/>
              <w:rPr>
                <w:rFonts w:asciiTheme="majorBidi" w:hAnsiTheme="majorBidi"/>
                <w:sz w:val="18"/>
                <w:szCs w:val="18"/>
                <w:lang w:val="en-GB"/>
              </w:rPr>
            </w:pPr>
            <w:r>
              <w:rPr>
                <w:rFonts w:asciiTheme="majorBidi" w:hAnsiTheme="majorBidi"/>
                <w:sz w:val="18"/>
                <w:szCs w:val="18"/>
                <w:lang w:val="en-GB"/>
              </w:rPr>
              <w:t>combined single order factor model</w:t>
            </w:r>
          </w:p>
        </w:tc>
        <w:tc>
          <w:tcPr>
            <w:tcW w:w="1276" w:type="dxa"/>
            <w:tcBorders>
              <w:top w:val="single" w:sz="4" w:space="0" w:color="auto"/>
              <w:left w:val="nil"/>
              <w:bottom w:val="nil"/>
              <w:right w:val="nil"/>
            </w:tcBorders>
            <w:vAlign w:val="center"/>
          </w:tcPr>
          <w:p w14:paraId="66A9E5A5" w14:textId="77777777" w:rsidR="00380A4B" w:rsidRPr="000F61DA" w:rsidRDefault="00380A4B" w:rsidP="00380A4B">
            <w:pPr>
              <w:autoSpaceDE w:val="0"/>
              <w:autoSpaceDN w:val="0"/>
              <w:adjustRightInd w:val="0"/>
              <w:jc w:val="center"/>
              <w:rPr>
                <w:rFonts w:asciiTheme="majorBidi" w:hAnsiTheme="majorBidi"/>
                <w:sz w:val="18"/>
                <w:szCs w:val="18"/>
                <w:lang w:val="en-GB"/>
              </w:rPr>
            </w:pPr>
            <w:r w:rsidRPr="000F61DA">
              <w:rPr>
                <w:rFonts w:asciiTheme="majorBidi" w:hAnsiTheme="majorBidi"/>
                <w:sz w:val="18"/>
                <w:szCs w:val="18"/>
                <w:lang w:val="en-GB"/>
              </w:rPr>
              <w:t>4705.002</w:t>
            </w:r>
            <w:r w:rsidRPr="00014355">
              <w:rPr>
                <w:rFonts w:asciiTheme="majorBidi" w:hAnsiTheme="majorBidi"/>
                <w:sz w:val="18"/>
                <w:szCs w:val="18"/>
                <w:vertAlign w:val="superscript"/>
                <w:lang w:val="en-GB"/>
              </w:rPr>
              <w:t>***</w:t>
            </w:r>
          </w:p>
        </w:tc>
        <w:tc>
          <w:tcPr>
            <w:tcW w:w="992" w:type="dxa"/>
            <w:tcBorders>
              <w:top w:val="single" w:sz="4" w:space="0" w:color="auto"/>
              <w:left w:val="nil"/>
              <w:bottom w:val="nil"/>
              <w:right w:val="nil"/>
            </w:tcBorders>
            <w:vAlign w:val="center"/>
          </w:tcPr>
          <w:p w14:paraId="66A9E5A6" w14:textId="77777777" w:rsidR="00380A4B" w:rsidRPr="000F61DA" w:rsidRDefault="00380A4B" w:rsidP="00380A4B">
            <w:pPr>
              <w:autoSpaceDE w:val="0"/>
              <w:autoSpaceDN w:val="0"/>
              <w:adjustRightInd w:val="0"/>
              <w:jc w:val="center"/>
              <w:rPr>
                <w:rFonts w:asciiTheme="majorBidi" w:hAnsiTheme="majorBidi"/>
                <w:bCs/>
                <w:sz w:val="18"/>
                <w:szCs w:val="18"/>
                <w:highlight w:val="yellow"/>
                <w:lang w:val="en-GB"/>
              </w:rPr>
            </w:pPr>
            <w:r w:rsidRPr="000F61DA">
              <w:rPr>
                <w:rFonts w:asciiTheme="majorBidi" w:hAnsiTheme="majorBidi"/>
                <w:bCs/>
                <w:sz w:val="18"/>
                <w:szCs w:val="18"/>
                <w:lang w:val="en-GB"/>
              </w:rPr>
              <w:t>2118</w:t>
            </w:r>
          </w:p>
        </w:tc>
        <w:tc>
          <w:tcPr>
            <w:tcW w:w="851" w:type="dxa"/>
            <w:tcBorders>
              <w:top w:val="single" w:sz="4" w:space="0" w:color="auto"/>
              <w:left w:val="nil"/>
              <w:bottom w:val="nil"/>
              <w:right w:val="nil"/>
            </w:tcBorders>
            <w:vAlign w:val="center"/>
          </w:tcPr>
          <w:p w14:paraId="66A9E5A7" w14:textId="2CD50674" w:rsidR="00380A4B" w:rsidRPr="000F61DA" w:rsidRDefault="00380A4B" w:rsidP="00380A4B">
            <w:pPr>
              <w:autoSpaceDE w:val="0"/>
              <w:autoSpaceDN w:val="0"/>
              <w:adjustRightInd w:val="0"/>
              <w:jc w:val="center"/>
              <w:rPr>
                <w:rFonts w:asciiTheme="majorBidi" w:hAnsiTheme="majorBidi"/>
                <w:bCs/>
                <w:sz w:val="18"/>
                <w:szCs w:val="18"/>
                <w:lang w:val="en-GB"/>
              </w:rPr>
            </w:pPr>
            <w:r w:rsidRPr="000F61DA">
              <w:rPr>
                <w:rFonts w:asciiTheme="majorBidi" w:hAnsiTheme="majorBidi"/>
                <w:sz w:val="18"/>
                <w:szCs w:val="18"/>
                <w:lang w:val="en-GB"/>
              </w:rPr>
              <w:t>.82</w:t>
            </w:r>
          </w:p>
        </w:tc>
        <w:tc>
          <w:tcPr>
            <w:tcW w:w="850" w:type="dxa"/>
            <w:tcBorders>
              <w:top w:val="single" w:sz="4" w:space="0" w:color="auto"/>
              <w:left w:val="nil"/>
              <w:bottom w:val="nil"/>
              <w:right w:val="nil"/>
            </w:tcBorders>
            <w:vAlign w:val="center"/>
          </w:tcPr>
          <w:p w14:paraId="66A9E5A8" w14:textId="77777777" w:rsidR="00380A4B" w:rsidRPr="000F61DA" w:rsidRDefault="00380A4B" w:rsidP="00380A4B">
            <w:pPr>
              <w:autoSpaceDE w:val="0"/>
              <w:autoSpaceDN w:val="0"/>
              <w:adjustRightInd w:val="0"/>
              <w:jc w:val="center"/>
              <w:rPr>
                <w:rFonts w:asciiTheme="majorBidi" w:hAnsiTheme="majorBidi"/>
                <w:bCs/>
                <w:sz w:val="18"/>
                <w:szCs w:val="18"/>
                <w:highlight w:val="yellow"/>
                <w:lang w:val="en-GB"/>
              </w:rPr>
            </w:pPr>
            <w:r w:rsidRPr="000F61DA">
              <w:rPr>
                <w:rFonts w:asciiTheme="majorBidi" w:hAnsiTheme="majorBidi"/>
                <w:bCs/>
                <w:sz w:val="18"/>
                <w:szCs w:val="18"/>
                <w:lang w:val="en-GB"/>
              </w:rPr>
              <w:t>.048</w:t>
            </w:r>
          </w:p>
        </w:tc>
        <w:tc>
          <w:tcPr>
            <w:tcW w:w="1559" w:type="dxa"/>
            <w:tcBorders>
              <w:top w:val="single" w:sz="4" w:space="0" w:color="auto"/>
              <w:left w:val="nil"/>
              <w:bottom w:val="nil"/>
              <w:right w:val="nil"/>
            </w:tcBorders>
            <w:vAlign w:val="center"/>
          </w:tcPr>
          <w:p w14:paraId="66A9E5A9" w14:textId="77777777" w:rsidR="00380A4B" w:rsidRPr="000F61DA" w:rsidRDefault="00B173A7" w:rsidP="00380A4B">
            <w:pPr>
              <w:autoSpaceDE w:val="0"/>
              <w:autoSpaceDN w:val="0"/>
              <w:adjustRightInd w:val="0"/>
              <w:jc w:val="center"/>
              <w:rPr>
                <w:rFonts w:asciiTheme="majorBidi" w:hAnsiTheme="majorBidi"/>
                <w:sz w:val="18"/>
                <w:szCs w:val="18"/>
                <w:lang w:val="en-GB"/>
              </w:rPr>
            </w:pPr>
            <w:r>
              <w:rPr>
                <w:rFonts w:asciiTheme="majorBidi" w:hAnsiTheme="majorBidi"/>
                <w:sz w:val="18"/>
                <w:szCs w:val="18"/>
                <w:lang w:val="en-GB"/>
              </w:rPr>
              <w:t>-</w:t>
            </w:r>
          </w:p>
        </w:tc>
      </w:tr>
      <w:tr w:rsidR="00380A4B" w:rsidRPr="00500554" w14:paraId="66A9E5B2" w14:textId="77777777" w:rsidTr="00014355">
        <w:trPr>
          <w:trHeight w:val="454"/>
        </w:trPr>
        <w:tc>
          <w:tcPr>
            <w:tcW w:w="3544" w:type="dxa"/>
            <w:tcBorders>
              <w:top w:val="nil"/>
              <w:left w:val="nil"/>
              <w:bottom w:val="nil"/>
              <w:right w:val="nil"/>
            </w:tcBorders>
            <w:vAlign w:val="center"/>
          </w:tcPr>
          <w:p w14:paraId="66A9E5AB" w14:textId="77777777" w:rsidR="00380A4B" w:rsidRPr="00500554" w:rsidRDefault="00380A4B" w:rsidP="00380A4B">
            <w:pPr>
              <w:autoSpaceDE w:val="0"/>
              <w:autoSpaceDN w:val="0"/>
              <w:adjustRightInd w:val="0"/>
              <w:rPr>
                <w:rFonts w:asciiTheme="majorBidi" w:hAnsiTheme="majorBidi"/>
                <w:sz w:val="18"/>
                <w:szCs w:val="18"/>
                <w:lang w:val="en-GB"/>
              </w:rPr>
            </w:pPr>
            <w:r w:rsidRPr="00500554">
              <w:rPr>
                <w:rFonts w:asciiTheme="majorBidi" w:hAnsiTheme="majorBidi"/>
                <w:sz w:val="18"/>
                <w:szCs w:val="18"/>
                <w:lang w:val="en-GB"/>
              </w:rPr>
              <w:t>Model 2:</w:t>
            </w:r>
          </w:p>
          <w:p w14:paraId="66A9E5AC" w14:textId="77777777" w:rsidR="00380A4B" w:rsidRPr="00500554" w:rsidRDefault="00380A4B" w:rsidP="00380A4B">
            <w:pPr>
              <w:autoSpaceDE w:val="0"/>
              <w:autoSpaceDN w:val="0"/>
              <w:adjustRightInd w:val="0"/>
              <w:rPr>
                <w:rFonts w:asciiTheme="majorBidi" w:hAnsiTheme="majorBidi"/>
                <w:sz w:val="18"/>
                <w:szCs w:val="18"/>
                <w:lang w:val="en-GB"/>
              </w:rPr>
            </w:pPr>
            <w:r>
              <w:rPr>
                <w:rFonts w:asciiTheme="majorBidi" w:hAnsiTheme="majorBidi"/>
                <w:sz w:val="18"/>
                <w:szCs w:val="18"/>
                <w:lang w:val="en-GB"/>
              </w:rPr>
              <w:t xml:space="preserve">combined single order factor model with correlation fixed to 1 between BIS and FFFS </w:t>
            </w:r>
          </w:p>
        </w:tc>
        <w:tc>
          <w:tcPr>
            <w:tcW w:w="1276" w:type="dxa"/>
            <w:tcBorders>
              <w:top w:val="nil"/>
              <w:left w:val="nil"/>
              <w:bottom w:val="nil"/>
              <w:right w:val="nil"/>
            </w:tcBorders>
            <w:vAlign w:val="center"/>
          </w:tcPr>
          <w:p w14:paraId="66A9E5AD" w14:textId="77777777" w:rsidR="00380A4B" w:rsidRPr="000F61DA" w:rsidRDefault="00380A4B" w:rsidP="00380A4B">
            <w:pPr>
              <w:autoSpaceDE w:val="0"/>
              <w:autoSpaceDN w:val="0"/>
              <w:adjustRightInd w:val="0"/>
              <w:jc w:val="center"/>
              <w:rPr>
                <w:rFonts w:asciiTheme="majorBidi" w:hAnsiTheme="majorBidi"/>
                <w:sz w:val="18"/>
                <w:szCs w:val="18"/>
                <w:lang w:val="en-GB"/>
              </w:rPr>
            </w:pPr>
            <w:r>
              <w:rPr>
                <w:rFonts w:asciiTheme="majorBidi" w:hAnsiTheme="majorBidi"/>
                <w:sz w:val="18"/>
                <w:szCs w:val="18"/>
                <w:lang w:val="en-GB"/>
              </w:rPr>
              <w:t>4977.715</w:t>
            </w:r>
            <w:r w:rsidR="00014355" w:rsidRPr="00014355">
              <w:rPr>
                <w:rFonts w:asciiTheme="majorBidi" w:hAnsiTheme="majorBidi"/>
                <w:sz w:val="18"/>
                <w:szCs w:val="18"/>
                <w:vertAlign w:val="superscript"/>
                <w:lang w:val="en-GB"/>
              </w:rPr>
              <w:t>***</w:t>
            </w:r>
          </w:p>
        </w:tc>
        <w:tc>
          <w:tcPr>
            <w:tcW w:w="992" w:type="dxa"/>
            <w:tcBorders>
              <w:top w:val="nil"/>
              <w:left w:val="nil"/>
              <w:bottom w:val="nil"/>
              <w:right w:val="nil"/>
            </w:tcBorders>
            <w:vAlign w:val="center"/>
          </w:tcPr>
          <w:p w14:paraId="66A9E5AE" w14:textId="77777777" w:rsidR="00380A4B" w:rsidRPr="000F61DA" w:rsidRDefault="00380A4B" w:rsidP="00380A4B">
            <w:pPr>
              <w:autoSpaceDE w:val="0"/>
              <w:autoSpaceDN w:val="0"/>
              <w:adjustRightInd w:val="0"/>
              <w:jc w:val="center"/>
              <w:rPr>
                <w:rFonts w:asciiTheme="majorBidi" w:hAnsiTheme="majorBidi"/>
                <w:bCs/>
                <w:sz w:val="18"/>
                <w:szCs w:val="18"/>
                <w:highlight w:val="yellow"/>
                <w:lang w:val="en-GB"/>
              </w:rPr>
            </w:pPr>
            <w:r>
              <w:rPr>
                <w:rFonts w:asciiTheme="majorBidi" w:hAnsiTheme="majorBidi"/>
                <w:bCs/>
                <w:sz w:val="18"/>
                <w:szCs w:val="18"/>
                <w:lang w:val="en-GB"/>
              </w:rPr>
              <w:t>2119</w:t>
            </w:r>
          </w:p>
        </w:tc>
        <w:tc>
          <w:tcPr>
            <w:tcW w:w="851" w:type="dxa"/>
            <w:tcBorders>
              <w:top w:val="nil"/>
              <w:left w:val="nil"/>
              <w:bottom w:val="nil"/>
              <w:right w:val="nil"/>
            </w:tcBorders>
            <w:vAlign w:val="center"/>
          </w:tcPr>
          <w:p w14:paraId="66A9E5AF" w14:textId="61EC4678" w:rsidR="00380A4B" w:rsidRPr="000F61DA" w:rsidRDefault="00380A4B" w:rsidP="00380A4B">
            <w:pPr>
              <w:autoSpaceDE w:val="0"/>
              <w:autoSpaceDN w:val="0"/>
              <w:adjustRightInd w:val="0"/>
              <w:jc w:val="center"/>
              <w:rPr>
                <w:rFonts w:asciiTheme="majorBidi" w:hAnsiTheme="majorBidi"/>
                <w:bCs/>
                <w:sz w:val="18"/>
                <w:szCs w:val="18"/>
                <w:lang w:val="en-GB"/>
              </w:rPr>
            </w:pPr>
            <w:r>
              <w:rPr>
                <w:rFonts w:asciiTheme="majorBidi" w:hAnsiTheme="majorBidi"/>
                <w:sz w:val="18"/>
                <w:szCs w:val="18"/>
                <w:lang w:val="en-GB"/>
              </w:rPr>
              <w:t>.80</w:t>
            </w:r>
          </w:p>
        </w:tc>
        <w:tc>
          <w:tcPr>
            <w:tcW w:w="850" w:type="dxa"/>
            <w:tcBorders>
              <w:top w:val="nil"/>
              <w:left w:val="nil"/>
              <w:bottom w:val="nil"/>
              <w:right w:val="nil"/>
            </w:tcBorders>
            <w:vAlign w:val="center"/>
          </w:tcPr>
          <w:p w14:paraId="66A9E5B0" w14:textId="77777777" w:rsidR="00380A4B" w:rsidRPr="000F61DA" w:rsidRDefault="00380A4B" w:rsidP="00380A4B">
            <w:pPr>
              <w:autoSpaceDE w:val="0"/>
              <w:autoSpaceDN w:val="0"/>
              <w:adjustRightInd w:val="0"/>
              <w:jc w:val="center"/>
              <w:rPr>
                <w:rFonts w:asciiTheme="majorBidi" w:hAnsiTheme="majorBidi"/>
                <w:bCs/>
                <w:sz w:val="18"/>
                <w:szCs w:val="18"/>
                <w:highlight w:val="yellow"/>
                <w:lang w:val="en-GB"/>
              </w:rPr>
            </w:pPr>
            <w:r>
              <w:rPr>
                <w:rFonts w:asciiTheme="majorBidi" w:hAnsiTheme="majorBidi"/>
                <w:bCs/>
                <w:sz w:val="18"/>
                <w:szCs w:val="18"/>
                <w:lang w:val="en-GB"/>
              </w:rPr>
              <w:t>.051</w:t>
            </w:r>
          </w:p>
        </w:tc>
        <w:tc>
          <w:tcPr>
            <w:tcW w:w="1559" w:type="dxa"/>
            <w:tcBorders>
              <w:top w:val="nil"/>
              <w:left w:val="nil"/>
              <w:bottom w:val="nil"/>
              <w:right w:val="nil"/>
            </w:tcBorders>
            <w:vAlign w:val="center"/>
          </w:tcPr>
          <w:p w14:paraId="66A9E5B1" w14:textId="77777777" w:rsidR="00380A4B" w:rsidRPr="000F61DA" w:rsidRDefault="00380A4B" w:rsidP="00380A4B">
            <w:pPr>
              <w:autoSpaceDE w:val="0"/>
              <w:autoSpaceDN w:val="0"/>
              <w:adjustRightInd w:val="0"/>
              <w:jc w:val="center"/>
              <w:rPr>
                <w:rFonts w:asciiTheme="majorBidi" w:hAnsiTheme="majorBidi"/>
                <w:sz w:val="18"/>
                <w:szCs w:val="18"/>
                <w:lang w:val="en-GB"/>
              </w:rPr>
            </w:pPr>
            <w:r>
              <w:rPr>
                <w:rFonts w:asciiTheme="majorBidi" w:hAnsiTheme="majorBidi"/>
                <w:sz w:val="18"/>
                <w:szCs w:val="18"/>
                <w:lang w:val="en-GB"/>
              </w:rPr>
              <w:t>165.774 (1)</w:t>
            </w:r>
            <w:r w:rsidR="00014355" w:rsidRPr="00014355">
              <w:rPr>
                <w:rFonts w:asciiTheme="majorBidi" w:hAnsiTheme="majorBidi"/>
                <w:sz w:val="18"/>
                <w:szCs w:val="18"/>
                <w:vertAlign w:val="superscript"/>
                <w:lang w:val="en-GB"/>
              </w:rPr>
              <w:t xml:space="preserve"> ***</w:t>
            </w:r>
          </w:p>
        </w:tc>
      </w:tr>
      <w:tr w:rsidR="00380A4B" w:rsidRPr="00F9148E" w14:paraId="66A9E5BA" w14:textId="77777777" w:rsidTr="00014355">
        <w:trPr>
          <w:trHeight w:val="454"/>
        </w:trPr>
        <w:tc>
          <w:tcPr>
            <w:tcW w:w="3544" w:type="dxa"/>
            <w:tcBorders>
              <w:top w:val="nil"/>
              <w:left w:val="nil"/>
              <w:bottom w:val="nil"/>
              <w:right w:val="nil"/>
            </w:tcBorders>
            <w:vAlign w:val="center"/>
          </w:tcPr>
          <w:p w14:paraId="66A9E5B3" w14:textId="77777777" w:rsidR="00380A4B" w:rsidRDefault="00380A4B" w:rsidP="00380A4B">
            <w:pPr>
              <w:autoSpaceDE w:val="0"/>
              <w:autoSpaceDN w:val="0"/>
              <w:adjustRightInd w:val="0"/>
              <w:rPr>
                <w:rFonts w:asciiTheme="majorBidi" w:hAnsiTheme="majorBidi"/>
                <w:sz w:val="18"/>
                <w:szCs w:val="18"/>
                <w:lang w:val="en-GB"/>
              </w:rPr>
            </w:pPr>
            <w:r w:rsidRPr="00500554">
              <w:rPr>
                <w:rFonts w:asciiTheme="majorBidi" w:hAnsiTheme="majorBidi"/>
                <w:sz w:val="18"/>
                <w:szCs w:val="18"/>
                <w:lang w:val="en-GB"/>
              </w:rPr>
              <w:t xml:space="preserve">Model 3: </w:t>
            </w:r>
          </w:p>
          <w:p w14:paraId="66A9E5B4" w14:textId="77777777" w:rsidR="00380A4B" w:rsidRPr="00500554" w:rsidRDefault="00380A4B" w:rsidP="00380A4B">
            <w:pPr>
              <w:autoSpaceDE w:val="0"/>
              <w:autoSpaceDN w:val="0"/>
              <w:adjustRightInd w:val="0"/>
              <w:rPr>
                <w:rFonts w:asciiTheme="majorBidi" w:hAnsiTheme="majorBidi"/>
                <w:sz w:val="18"/>
                <w:szCs w:val="18"/>
                <w:lang w:val="en-GB"/>
              </w:rPr>
            </w:pPr>
            <w:r>
              <w:rPr>
                <w:rFonts w:asciiTheme="majorBidi" w:hAnsiTheme="majorBidi"/>
                <w:sz w:val="18"/>
                <w:szCs w:val="18"/>
                <w:lang w:val="en-GB"/>
              </w:rPr>
              <w:t>combined single order factor model with correlation fixed to 0 between BIS and FFFS</w:t>
            </w:r>
          </w:p>
        </w:tc>
        <w:tc>
          <w:tcPr>
            <w:tcW w:w="1276" w:type="dxa"/>
            <w:tcBorders>
              <w:top w:val="nil"/>
              <w:left w:val="nil"/>
              <w:bottom w:val="nil"/>
              <w:right w:val="nil"/>
            </w:tcBorders>
            <w:vAlign w:val="center"/>
          </w:tcPr>
          <w:p w14:paraId="66A9E5B5" w14:textId="77777777" w:rsidR="00380A4B" w:rsidRPr="000F61DA" w:rsidRDefault="00380A4B" w:rsidP="00380A4B">
            <w:pPr>
              <w:autoSpaceDE w:val="0"/>
              <w:autoSpaceDN w:val="0"/>
              <w:adjustRightInd w:val="0"/>
              <w:jc w:val="center"/>
              <w:rPr>
                <w:rFonts w:asciiTheme="majorBidi" w:hAnsiTheme="majorBidi"/>
                <w:sz w:val="18"/>
                <w:szCs w:val="18"/>
                <w:lang w:val="en-GB"/>
              </w:rPr>
            </w:pPr>
            <w:r>
              <w:rPr>
                <w:rFonts w:asciiTheme="majorBidi" w:hAnsiTheme="majorBidi"/>
                <w:sz w:val="18"/>
                <w:szCs w:val="18"/>
                <w:lang w:val="en-GB"/>
              </w:rPr>
              <w:t>5652.384</w:t>
            </w:r>
            <w:r w:rsidR="00014355" w:rsidRPr="00014355">
              <w:rPr>
                <w:rFonts w:asciiTheme="majorBidi" w:hAnsiTheme="majorBidi"/>
                <w:sz w:val="18"/>
                <w:szCs w:val="18"/>
                <w:vertAlign w:val="superscript"/>
                <w:lang w:val="en-GB"/>
              </w:rPr>
              <w:t>***</w:t>
            </w:r>
          </w:p>
        </w:tc>
        <w:tc>
          <w:tcPr>
            <w:tcW w:w="992" w:type="dxa"/>
            <w:tcBorders>
              <w:top w:val="nil"/>
              <w:left w:val="nil"/>
              <w:bottom w:val="nil"/>
              <w:right w:val="nil"/>
            </w:tcBorders>
            <w:vAlign w:val="center"/>
          </w:tcPr>
          <w:p w14:paraId="66A9E5B6" w14:textId="77777777" w:rsidR="00380A4B" w:rsidRPr="000F61DA" w:rsidRDefault="00380A4B" w:rsidP="00380A4B">
            <w:pPr>
              <w:autoSpaceDE w:val="0"/>
              <w:autoSpaceDN w:val="0"/>
              <w:adjustRightInd w:val="0"/>
              <w:jc w:val="center"/>
              <w:rPr>
                <w:rFonts w:asciiTheme="majorBidi" w:hAnsiTheme="majorBidi"/>
                <w:bCs/>
                <w:sz w:val="18"/>
                <w:szCs w:val="18"/>
                <w:highlight w:val="yellow"/>
                <w:lang w:val="en-GB"/>
              </w:rPr>
            </w:pPr>
            <w:r>
              <w:rPr>
                <w:rFonts w:asciiTheme="majorBidi" w:hAnsiTheme="majorBidi"/>
                <w:bCs/>
                <w:sz w:val="18"/>
                <w:szCs w:val="18"/>
                <w:lang w:val="en-GB"/>
              </w:rPr>
              <w:t>2119</w:t>
            </w:r>
          </w:p>
        </w:tc>
        <w:tc>
          <w:tcPr>
            <w:tcW w:w="851" w:type="dxa"/>
            <w:tcBorders>
              <w:top w:val="nil"/>
              <w:left w:val="nil"/>
              <w:bottom w:val="nil"/>
              <w:right w:val="nil"/>
            </w:tcBorders>
            <w:vAlign w:val="center"/>
          </w:tcPr>
          <w:p w14:paraId="66A9E5B7" w14:textId="32E2DA12" w:rsidR="00380A4B" w:rsidRPr="000F61DA" w:rsidRDefault="00F24E5E" w:rsidP="00380A4B">
            <w:pPr>
              <w:autoSpaceDE w:val="0"/>
              <w:autoSpaceDN w:val="0"/>
              <w:adjustRightInd w:val="0"/>
              <w:jc w:val="center"/>
              <w:rPr>
                <w:rFonts w:asciiTheme="majorBidi" w:hAnsiTheme="majorBidi"/>
                <w:bCs/>
                <w:sz w:val="18"/>
                <w:szCs w:val="18"/>
                <w:lang w:val="en-GB"/>
              </w:rPr>
            </w:pPr>
            <w:r>
              <w:rPr>
                <w:rFonts w:asciiTheme="majorBidi" w:hAnsiTheme="majorBidi"/>
                <w:sz w:val="18"/>
                <w:szCs w:val="18"/>
                <w:lang w:val="en-GB"/>
              </w:rPr>
              <w:t>.</w:t>
            </w:r>
            <w:r w:rsidR="002D0974">
              <w:rPr>
                <w:rFonts w:asciiTheme="majorBidi" w:hAnsiTheme="majorBidi"/>
                <w:sz w:val="18"/>
                <w:szCs w:val="18"/>
                <w:lang w:val="en-GB"/>
              </w:rPr>
              <w:t>7</w:t>
            </w:r>
            <w:r w:rsidR="00B173A7">
              <w:rPr>
                <w:rFonts w:asciiTheme="majorBidi" w:hAnsiTheme="majorBidi"/>
                <w:sz w:val="18"/>
                <w:szCs w:val="18"/>
                <w:lang w:val="en-GB"/>
              </w:rPr>
              <w:t>6</w:t>
            </w:r>
          </w:p>
        </w:tc>
        <w:tc>
          <w:tcPr>
            <w:tcW w:w="850" w:type="dxa"/>
            <w:tcBorders>
              <w:top w:val="nil"/>
              <w:left w:val="nil"/>
              <w:bottom w:val="nil"/>
              <w:right w:val="nil"/>
            </w:tcBorders>
            <w:vAlign w:val="center"/>
          </w:tcPr>
          <w:p w14:paraId="66A9E5B8" w14:textId="77777777" w:rsidR="00380A4B" w:rsidRPr="000F61DA" w:rsidRDefault="00B173A7" w:rsidP="00380A4B">
            <w:pPr>
              <w:autoSpaceDE w:val="0"/>
              <w:autoSpaceDN w:val="0"/>
              <w:adjustRightInd w:val="0"/>
              <w:jc w:val="center"/>
              <w:rPr>
                <w:rFonts w:asciiTheme="majorBidi" w:hAnsiTheme="majorBidi"/>
                <w:bCs/>
                <w:sz w:val="18"/>
                <w:szCs w:val="18"/>
                <w:highlight w:val="yellow"/>
                <w:lang w:val="en-GB"/>
              </w:rPr>
            </w:pPr>
            <w:r>
              <w:rPr>
                <w:rFonts w:asciiTheme="majorBidi" w:hAnsiTheme="majorBidi"/>
                <w:bCs/>
                <w:sz w:val="18"/>
                <w:szCs w:val="18"/>
                <w:lang w:val="en-GB"/>
              </w:rPr>
              <w:t>.056</w:t>
            </w:r>
          </w:p>
        </w:tc>
        <w:tc>
          <w:tcPr>
            <w:tcW w:w="1559" w:type="dxa"/>
            <w:tcBorders>
              <w:top w:val="nil"/>
              <w:left w:val="nil"/>
              <w:bottom w:val="nil"/>
              <w:right w:val="nil"/>
            </w:tcBorders>
            <w:vAlign w:val="center"/>
          </w:tcPr>
          <w:p w14:paraId="66A9E5B9" w14:textId="77777777" w:rsidR="00380A4B" w:rsidRPr="000F61DA" w:rsidRDefault="00380A4B" w:rsidP="00380A4B">
            <w:pPr>
              <w:autoSpaceDE w:val="0"/>
              <w:autoSpaceDN w:val="0"/>
              <w:adjustRightInd w:val="0"/>
              <w:jc w:val="center"/>
              <w:rPr>
                <w:rFonts w:asciiTheme="majorBidi" w:hAnsiTheme="majorBidi"/>
                <w:sz w:val="18"/>
                <w:szCs w:val="18"/>
                <w:lang w:val="en-GB"/>
              </w:rPr>
            </w:pPr>
            <w:r>
              <w:rPr>
                <w:rFonts w:asciiTheme="majorBidi" w:hAnsiTheme="majorBidi"/>
                <w:sz w:val="18"/>
                <w:szCs w:val="18"/>
                <w:lang w:val="en-GB"/>
              </w:rPr>
              <w:t>136.577(1)</w:t>
            </w:r>
            <w:r w:rsidR="00014355" w:rsidRPr="00014355">
              <w:rPr>
                <w:rFonts w:asciiTheme="majorBidi" w:hAnsiTheme="majorBidi"/>
                <w:sz w:val="18"/>
                <w:szCs w:val="18"/>
                <w:vertAlign w:val="superscript"/>
                <w:lang w:val="en-GB"/>
              </w:rPr>
              <w:t xml:space="preserve"> ***</w:t>
            </w:r>
          </w:p>
        </w:tc>
      </w:tr>
      <w:tr w:rsidR="00380A4B" w:rsidRPr="00963012" w14:paraId="66A9E5C2" w14:textId="77777777" w:rsidTr="00014355">
        <w:trPr>
          <w:trHeight w:val="454"/>
        </w:trPr>
        <w:tc>
          <w:tcPr>
            <w:tcW w:w="3544" w:type="dxa"/>
            <w:tcBorders>
              <w:top w:val="nil"/>
              <w:left w:val="nil"/>
              <w:right w:val="nil"/>
            </w:tcBorders>
            <w:vAlign w:val="center"/>
          </w:tcPr>
          <w:p w14:paraId="66A9E5BB" w14:textId="77777777" w:rsidR="00380A4B" w:rsidRDefault="00380A4B" w:rsidP="00380A4B">
            <w:pPr>
              <w:autoSpaceDE w:val="0"/>
              <w:autoSpaceDN w:val="0"/>
              <w:adjustRightInd w:val="0"/>
              <w:rPr>
                <w:rFonts w:asciiTheme="majorBidi" w:hAnsiTheme="majorBidi"/>
                <w:sz w:val="18"/>
                <w:szCs w:val="18"/>
                <w:lang w:val="en-GB"/>
              </w:rPr>
            </w:pPr>
            <w:r>
              <w:rPr>
                <w:rFonts w:asciiTheme="majorBidi" w:hAnsiTheme="majorBidi"/>
                <w:sz w:val="18"/>
                <w:szCs w:val="18"/>
                <w:lang w:val="en-GB"/>
              </w:rPr>
              <w:t>Model 4</w:t>
            </w:r>
            <w:r w:rsidRPr="00500554">
              <w:rPr>
                <w:rFonts w:asciiTheme="majorBidi" w:hAnsiTheme="majorBidi"/>
                <w:sz w:val="18"/>
                <w:szCs w:val="18"/>
                <w:lang w:val="en-GB"/>
              </w:rPr>
              <w:t xml:space="preserve">: </w:t>
            </w:r>
          </w:p>
          <w:p w14:paraId="66A9E5BC" w14:textId="77777777" w:rsidR="00380A4B" w:rsidRPr="00500554" w:rsidRDefault="00380A4B" w:rsidP="00380A4B">
            <w:pPr>
              <w:autoSpaceDE w:val="0"/>
              <w:autoSpaceDN w:val="0"/>
              <w:adjustRightInd w:val="0"/>
              <w:rPr>
                <w:rFonts w:asciiTheme="majorBidi" w:hAnsiTheme="majorBidi"/>
                <w:sz w:val="18"/>
                <w:szCs w:val="18"/>
                <w:lang w:val="en-GB"/>
              </w:rPr>
            </w:pPr>
            <w:r>
              <w:rPr>
                <w:rFonts w:asciiTheme="majorBidi" w:hAnsiTheme="majorBidi"/>
                <w:sz w:val="18"/>
                <w:szCs w:val="18"/>
                <w:lang w:val="en-GB"/>
              </w:rPr>
              <w:t>Second order factor model with BAS</w:t>
            </w:r>
          </w:p>
        </w:tc>
        <w:tc>
          <w:tcPr>
            <w:tcW w:w="1276" w:type="dxa"/>
            <w:tcBorders>
              <w:top w:val="nil"/>
              <w:left w:val="nil"/>
              <w:right w:val="nil"/>
            </w:tcBorders>
            <w:vAlign w:val="center"/>
          </w:tcPr>
          <w:p w14:paraId="66A9E5BD" w14:textId="77777777" w:rsidR="00380A4B" w:rsidRPr="000F61DA" w:rsidRDefault="00380A4B" w:rsidP="00380A4B">
            <w:pPr>
              <w:autoSpaceDE w:val="0"/>
              <w:autoSpaceDN w:val="0"/>
              <w:adjustRightInd w:val="0"/>
              <w:jc w:val="center"/>
              <w:rPr>
                <w:rFonts w:asciiTheme="majorBidi" w:hAnsiTheme="majorBidi"/>
                <w:sz w:val="18"/>
                <w:szCs w:val="18"/>
                <w:lang w:val="en-GB"/>
              </w:rPr>
            </w:pPr>
            <w:r>
              <w:rPr>
                <w:rFonts w:asciiTheme="majorBidi" w:hAnsiTheme="majorBidi"/>
                <w:sz w:val="18"/>
                <w:szCs w:val="18"/>
                <w:lang w:val="en-GB"/>
              </w:rPr>
              <w:t>5020.644</w:t>
            </w:r>
            <w:r w:rsidR="00014355" w:rsidRPr="00014355">
              <w:rPr>
                <w:rFonts w:asciiTheme="majorBidi" w:hAnsiTheme="majorBidi"/>
                <w:sz w:val="18"/>
                <w:szCs w:val="18"/>
                <w:vertAlign w:val="superscript"/>
                <w:lang w:val="en-GB"/>
              </w:rPr>
              <w:t>***</w:t>
            </w:r>
          </w:p>
        </w:tc>
        <w:tc>
          <w:tcPr>
            <w:tcW w:w="992" w:type="dxa"/>
            <w:tcBorders>
              <w:top w:val="nil"/>
              <w:left w:val="nil"/>
              <w:right w:val="nil"/>
            </w:tcBorders>
            <w:vAlign w:val="center"/>
          </w:tcPr>
          <w:p w14:paraId="66A9E5BE" w14:textId="77777777" w:rsidR="00380A4B" w:rsidRPr="000F61DA" w:rsidRDefault="00380A4B" w:rsidP="00380A4B">
            <w:pPr>
              <w:autoSpaceDE w:val="0"/>
              <w:autoSpaceDN w:val="0"/>
              <w:adjustRightInd w:val="0"/>
              <w:jc w:val="center"/>
              <w:rPr>
                <w:rFonts w:asciiTheme="majorBidi" w:hAnsiTheme="majorBidi"/>
                <w:bCs/>
                <w:sz w:val="18"/>
                <w:szCs w:val="18"/>
                <w:lang w:val="en-GB"/>
              </w:rPr>
            </w:pPr>
            <w:r>
              <w:rPr>
                <w:rFonts w:asciiTheme="majorBidi" w:hAnsiTheme="majorBidi"/>
                <w:bCs/>
                <w:sz w:val="18"/>
                <w:szCs w:val="18"/>
                <w:lang w:val="en-GB"/>
              </w:rPr>
              <w:t>2128</w:t>
            </w:r>
          </w:p>
        </w:tc>
        <w:tc>
          <w:tcPr>
            <w:tcW w:w="851" w:type="dxa"/>
            <w:tcBorders>
              <w:top w:val="nil"/>
              <w:left w:val="nil"/>
              <w:right w:val="nil"/>
            </w:tcBorders>
            <w:vAlign w:val="center"/>
          </w:tcPr>
          <w:p w14:paraId="66A9E5BF" w14:textId="5EB0C251" w:rsidR="00380A4B" w:rsidRPr="000F61DA" w:rsidRDefault="00380A4B" w:rsidP="00380A4B">
            <w:pPr>
              <w:autoSpaceDE w:val="0"/>
              <w:autoSpaceDN w:val="0"/>
              <w:adjustRightInd w:val="0"/>
              <w:jc w:val="center"/>
              <w:rPr>
                <w:rFonts w:asciiTheme="majorBidi" w:hAnsiTheme="majorBidi"/>
                <w:bCs/>
                <w:sz w:val="18"/>
                <w:szCs w:val="18"/>
                <w:lang w:val="en-GB"/>
              </w:rPr>
            </w:pPr>
            <w:r>
              <w:rPr>
                <w:rFonts w:asciiTheme="majorBidi" w:hAnsiTheme="majorBidi"/>
                <w:sz w:val="18"/>
                <w:szCs w:val="18"/>
                <w:lang w:val="en-GB"/>
              </w:rPr>
              <w:t>.80</w:t>
            </w:r>
          </w:p>
        </w:tc>
        <w:tc>
          <w:tcPr>
            <w:tcW w:w="850" w:type="dxa"/>
            <w:tcBorders>
              <w:top w:val="nil"/>
              <w:left w:val="nil"/>
              <w:right w:val="nil"/>
            </w:tcBorders>
            <w:vAlign w:val="center"/>
          </w:tcPr>
          <w:p w14:paraId="66A9E5C0" w14:textId="77777777" w:rsidR="00380A4B" w:rsidRPr="000F61DA" w:rsidRDefault="00380A4B" w:rsidP="00380A4B">
            <w:pPr>
              <w:autoSpaceDE w:val="0"/>
              <w:autoSpaceDN w:val="0"/>
              <w:adjustRightInd w:val="0"/>
              <w:jc w:val="center"/>
              <w:rPr>
                <w:rFonts w:asciiTheme="majorBidi" w:hAnsiTheme="majorBidi"/>
                <w:bCs/>
                <w:sz w:val="18"/>
                <w:szCs w:val="18"/>
                <w:lang w:val="en-GB"/>
              </w:rPr>
            </w:pPr>
            <w:r>
              <w:rPr>
                <w:rFonts w:asciiTheme="majorBidi" w:hAnsiTheme="majorBidi"/>
                <w:bCs/>
                <w:sz w:val="18"/>
                <w:szCs w:val="18"/>
                <w:lang w:val="en-GB"/>
              </w:rPr>
              <w:t>.051</w:t>
            </w:r>
          </w:p>
        </w:tc>
        <w:tc>
          <w:tcPr>
            <w:tcW w:w="1559" w:type="dxa"/>
            <w:tcBorders>
              <w:top w:val="nil"/>
              <w:left w:val="nil"/>
              <w:right w:val="nil"/>
            </w:tcBorders>
            <w:vAlign w:val="center"/>
          </w:tcPr>
          <w:p w14:paraId="66A9E5C1" w14:textId="77777777" w:rsidR="00380A4B" w:rsidRPr="000F61DA" w:rsidRDefault="00380A4B" w:rsidP="00380A4B">
            <w:pPr>
              <w:autoSpaceDE w:val="0"/>
              <w:autoSpaceDN w:val="0"/>
              <w:adjustRightInd w:val="0"/>
              <w:jc w:val="center"/>
              <w:rPr>
                <w:rFonts w:asciiTheme="majorBidi" w:hAnsiTheme="majorBidi"/>
                <w:sz w:val="18"/>
                <w:szCs w:val="18"/>
                <w:lang w:val="en-GB"/>
              </w:rPr>
            </w:pPr>
            <w:r>
              <w:rPr>
                <w:rFonts w:asciiTheme="majorBidi" w:hAnsiTheme="majorBidi"/>
                <w:sz w:val="18"/>
                <w:szCs w:val="18"/>
                <w:lang w:val="en-GB"/>
              </w:rPr>
              <w:t>.119.778(10)</w:t>
            </w:r>
            <w:r w:rsidR="00014355" w:rsidRPr="00014355">
              <w:rPr>
                <w:rFonts w:asciiTheme="majorBidi" w:hAnsiTheme="majorBidi"/>
                <w:sz w:val="18"/>
                <w:szCs w:val="18"/>
                <w:vertAlign w:val="superscript"/>
                <w:lang w:val="en-GB"/>
              </w:rPr>
              <w:t xml:space="preserve"> ***</w:t>
            </w:r>
          </w:p>
        </w:tc>
      </w:tr>
    </w:tbl>
    <w:p w14:paraId="66A9E5C3" w14:textId="77777777" w:rsidR="00380A4B" w:rsidRPr="00462903" w:rsidRDefault="00380A4B" w:rsidP="00380A4B">
      <w:pPr>
        <w:rPr>
          <w:sz w:val="18"/>
          <w:szCs w:val="18"/>
          <w:lang w:val="en-GB"/>
        </w:rPr>
      </w:pPr>
      <w:r w:rsidRPr="00462903">
        <w:rPr>
          <w:sz w:val="18"/>
          <w:szCs w:val="18"/>
          <w:lang w:val="en-GB"/>
        </w:rPr>
        <w:t xml:space="preserve">*** </w:t>
      </w:r>
      <w:r w:rsidRPr="00462903">
        <w:rPr>
          <w:i/>
          <w:sz w:val="18"/>
          <w:szCs w:val="18"/>
          <w:lang w:val="en-GB"/>
        </w:rPr>
        <w:t>p</w:t>
      </w:r>
      <w:r w:rsidRPr="00462903">
        <w:rPr>
          <w:sz w:val="18"/>
          <w:szCs w:val="18"/>
          <w:lang w:val="en-GB"/>
        </w:rPr>
        <w:t xml:space="preserve"> &lt; .001</w:t>
      </w:r>
    </w:p>
    <w:p w14:paraId="66A9E5C4" w14:textId="77777777" w:rsidR="00BA50D8" w:rsidRPr="00262711" w:rsidRDefault="00BA50D8" w:rsidP="00BA50D8">
      <w:pPr>
        <w:spacing w:line="480" w:lineRule="auto"/>
        <w:ind w:left="-181"/>
        <w:rPr>
          <w:lang w:val="en-GB"/>
        </w:rPr>
      </w:pPr>
    </w:p>
    <w:sectPr w:rsidR="00BA50D8" w:rsidRPr="00262711" w:rsidSect="00C849D8">
      <w:headerReference w:type="default" r:id="rId12"/>
      <w:footerReference w:type="default" r:id="rId13"/>
      <w:pgSz w:w="11906" w:h="16838" w:code="9"/>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17F9E" w14:textId="77777777" w:rsidR="002522FA" w:rsidRDefault="002522FA">
      <w:r>
        <w:separator/>
      </w:r>
    </w:p>
  </w:endnote>
  <w:endnote w:type="continuationSeparator" w:id="0">
    <w:p w14:paraId="7884C862" w14:textId="77777777" w:rsidR="002522FA" w:rsidRDefault="0025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9E5CC" w14:textId="77777777" w:rsidR="00A90750" w:rsidRDefault="00A90750" w:rsidP="00FA7D85">
    <w:pPr>
      <w:pStyle w:val="Footer"/>
      <w:framePr w:wrap="auto" w:vAnchor="text" w:hAnchor="margin" w:xAlign="right" w:y="1"/>
      <w:rPr>
        <w:rStyle w:val="PageNumber"/>
      </w:rPr>
    </w:pPr>
  </w:p>
  <w:p w14:paraId="66A9E5CD" w14:textId="77777777" w:rsidR="00A90750" w:rsidRDefault="00A90750" w:rsidP="00FA7D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E14DD" w14:textId="77777777" w:rsidR="002522FA" w:rsidRDefault="002522FA">
      <w:r>
        <w:separator/>
      </w:r>
    </w:p>
  </w:footnote>
  <w:footnote w:type="continuationSeparator" w:id="0">
    <w:p w14:paraId="5A0E41D0" w14:textId="77777777" w:rsidR="002522FA" w:rsidRDefault="00252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9E5CA" w14:textId="313DB062" w:rsidR="00A90750" w:rsidRDefault="00A90750" w:rsidP="00FA7D8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22B">
      <w:rPr>
        <w:rStyle w:val="PageNumber"/>
        <w:noProof/>
      </w:rPr>
      <w:t>1</w:t>
    </w:r>
    <w:r>
      <w:rPr>
        <w:rStyle w:val="PageNumber"/>
      </w:rPr>
      <w:fldChar w:fldCharType="end"/>
    </w:r>
  </w:p>
  <w:p w14:paraId="66A9E5CB" w14:textId="77777777" w:rsidR="00A90750" w:rsidRDefault="00A90750" w:rsidP="004F3145">
    <w:pPr>
      <w:pStyle w:val="Header"/>
      <w:ind w:right="360"/>
    </w:pPr>
    <w:r>
      <w:rPr>
        <w:szCs w:val="24"/>
      </w:rPr>
      <w:t>RST-PQ: Psychometric properties of a German version</w:t>
    </w:r>
    <w:r w:rsidRPr="001F0B54">
      <w:rPr>
        <w:szCs w:val="24"/>
      </w:rPr>
      <w:t xml:space="preserve"> </w:t>
    </w:r>
    <w:r>
      <w:rPr>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A126DF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51D29"/>
    <w:multiLevelType w:val="hybridMultilevel"/>
    <w:tmpl w:val="173E2AA0"/>
    <w:lvl w:ilvl="0" w:tplc="644880E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BB25D73"/>
    <w:multiLevelType w:val="hybridMultilevel"/>
    <w:tmpl w:val="7E52788E"/>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D181466"/>
    <w:multiLevelType w:val="hybridMultilevel"/>
    <w:tmpl w:val="79C629EA"/>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E6A28D3"/>
    <w:multiLevelType w:val="hybridMultilevel"/>
    <w:tmpl w:val="C28ACE2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17E53C0"/>
    <w:multiLevelType w:val="hybridMultilevel"/>
    <w:tmpl w:val="531A97D2"/>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1BA392F"/>
    <w:multiLevelType w:val="hybridMultilevel"/>
    <w:tmpl w:val="17962FE6"/>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4147BB5"/>
    <w:multiLevelType w:val="hybridMultilevel"/>
    <w:tmpl w:val="472E3278"/>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67C367E"/>
    <w:multiLevelType w:val="hybridMultilevel"/>
    <w:tmpl w:val="84588E20"/>
    <w:lvl w:ilvl="0" w:tplc="ED56890C">
      <w:start w:val="1"/>
      <w:numFmt w:val="bullet"/>
      <w:lvlText w:val=""/>
      <w:lvlJc w:val="left"/>
      <w:pPr>
        <w:tabs>
          <w:tab w:val="num" w:pos="720"/>
        </w:tabs>
        <w:ind w:left="720" w:hanging="360"/>
      </w:pPr>
      <w:rPr>
        <w:rFonts w:ascii="Wingdings" w:hAnsi="Wingdings" w:hint="default"/>
      </w:rPr>
    </w:lvl>
    <w:lvl w:ilvl="1" w:tplc="F40274B0">
      <w:start w:val="1"/>
      <w:numFmt w:val="bullet"/>
      <w:lvlText w:val=""/>
      <w:lvlJc w:val="left"/>
      <w:pPr>
        <w:tabs>
          <w:tab w:val="num" w:pos="1440"/>
        </w:tabs>
        <w:ind w:left="1440" w:hanging="360"/>
      </w:pPr>
      <w:rPr>
        <w:rFonts w:ascii="Wingdings" w:hAnsi="Wingdings" w:hint="default"/>
      </w:rPr>
    </w:lvl>
    <w:lvl w:ilvl="2" w:tplc="18DC262A">
      <w:start w:val="1"/>
      <w:numFmt w:val="bullet"/>
      <w:lvlText w:val=""/>
      <w:lvlJc w:val="left"/>
      <w:pPr>
        <w:tabs>
          <w:tab w:val="num" w:pos="2160"/>
        </w:tabs>
        <w:ind w:left="2160" w:hanging="360"/>
      </w:pPr>
      <w:rPr>
        <w:rFonts w:ascii="Wingdings" w:hAnsi="Wingdings" w:hint="default"/>
      </w:rPr>
    </w:lvl>
    <w:lvl w:ilvl="3" w:tplc="63AC3582">
      <w:start w:val="1"/>
      <w:numFmt w:val="bullet"/>
      <w:lvlText w:val=""/>
      <w:lvlJc w:val="left"/>
      <w:pPr>
        <w:tabs>
          <w:tab w:val="num" w:pos="2880"/>
        </w:tabs>
        <w:ind w:left="2880" w:hanging="360"/>
      </w:pPr>
      <w:rPr>
        <w:rFonts w:ascii="Wingdings" w:hAnsi="Wingdings" w:hint="default"/>
      </w:rPr>
    </w:lvl>
    <w:lvl w:ilvl="4" w:tplc="2F16EF0A">
      <w:start w:val="1"/>
      <w:numFmt w:val="bullet"/>
      <w:lvlText w:val=""/>
      <w:lvlJc w:val="left"/>
      <w:pPr>
        <w:tabs>
          <w:tab w:val="num" w:pos="3600"/>
        </w:tabs>
        <w:ind w:left="3600" w:hanging="360"/>
      </w:pPr>
      <w:rPr>
        <w:rFonts w:ascii="Wingdings" w:hAnsi="Wingdings" w:hint="default"/>
      </w:rPr>
    </w:lvl>
    <w:lvl w:ilvl="5" w:tplc="FDA2C3DA">
      <w:start w:val="1"/>
      <w:numFmt w:val="bullet"/>
      <w:lvlText w:val=""/>
      <w:lvlJc w:val="left"/>
      <w:pPr>
        <w:tabs>
          <w:tab w:val="num" w:pos="4320"/>
        </w:tabs>
        <w:ind w:left="4320" w:hanging="360"/>
      </w:pPr>
      <w:rPr>
        <w:rFonts w:ascii="Wingdings" w:hAnsi="Wingdings" w:hint="default"/>
      </w:rPr>
    </w:lvl>
    <w:lvl w:ilvl="6" w:tplc="130CEFE6">
      <w:start w:val="1"/>
      <w:numFmt w:val="bullet"/>
      <w:lvlText w:val=""/>
      <w:lvlJc w:val="left"/>
      <w:pPr>
        <w:tabs>
          <w:tab w:val="num" w:pos="5040"/>
        </w:tabs>
        <w:ind w:left="5040" w:hanging="360"/>
      </w:pPr>
      <w:rPr>
        <w:rFonts w:ascii="Wingdings" w:hAnsi="Wingdings" w:hint="default"/>
      </w:rPr>
    </w:lvl>
    <w:lvl w:ilvl="7" w:tplc="D1B2183C">
      <w:start w:val="1"/>
      <w:numFmt w:val="bullet"/>
      <w:lvlText w:val=""/>
      <w:lvlJc w:val="left"/>
      <w:pPr>
        <w:tabs>
          <w:tab w:val="num" w:pos="5760"/>
        </w:tabs>
        <w:ind w:left="5760" w:hanging="360"/>
      </w:pPr>
      <w:rPr>
        <w:rFonts w:ascii="Wingdings" w:hAnsi="Wingdings" w:hint="default"/>
      </w:rPr>
    </w:lvl>
    <w:lvl w:ilvl="8" w:tplc="242AE32E">
      <w:start w:val="1"/>
      <w:numFmt w:val="bullet"/>
      <w:lvlText w:val=""/>
      <w:lvlJc w:val="left"/>
      <w:pPr>
        <w:tabs>
          <w:tab w:val="num" w:pos="6480"/>
        </w:tabs>
        <w:ind w:left="6480" w:hanging="360"/>
      </w:pPr>
      <w:rPr>
        <w:rFonts w:ascii="Wingdings" w:hAnsi="Wingdings" w:hint="default"/>
      </w:rPr>
    </w:lvl>
  </w:abstractNum>
  <w:abstractNum w:abstractNumId="9">
    <w:nsid w:val="1B1073E5"/>
    <w:multiLevelType w:val="hybridMultilevel"/>
    <w:tmpl w:val="D38C57F4"/>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D767B51"/>
    <w:multiLevelType w:val="hybridMultilevel"/>
    <w:tmpl w:val="6C243984"/>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1EAF5908"/>
    <w:multiLevelType w:val="hybridMultilevel"/>
    <w:tmpl w:val="9B2A2A50"/>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F275A27"/>
    <w:multiLevelType w:val="multilevel"/>
    <w:tmpl w:val="9A6C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B15C88"/>
    <w:multiLevelType w:val="hybridMultilevel"/>
    <w:tmpl w:val="3DB6D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19803AD"/>
    <w:multiLevelType w:val="hybridMultilevel"/>
    <w:tmpl w:val="5C12AA94"/>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6DD19A6"/>
    <w:multiLevelType w:val="multilevel"/>
    <w:tmpl w:val="5C663C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F4A76DD"/>
    <w:multiLevelType w:val="hybridMultilevel"/>
    <w:tmpl w:val="392A6BE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302E07F1"/>
    <w:multiLevelType w:val="hybridMultilevel"/>
    <w:tmpl w:val="BDB687E4"/>
    <w:lvl w:ilvl="0" w:tplc="E7AA2B54">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28317A8"/>
    <w:multiLevelType w:val="hybridMultilevel"/>
    <w:tmpl w:val="63C4DB86"/>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6273850"/>
    <w:multiLevelType w:val="hybridMultilevel"/>
    <w:tmpl w:val="30D0E3E4"/>
    <w:lvl w:ilvl="0" w:tplc="19A2BAF0">
      <w:start w:val="1"/>
      <w:numFmt w:val="lowerLetter"/>
      <w:lvlText w:val="(%1)"/>
      <w:lvlJc w:val="left"/>
      <w:pPr>
        <w:tabs>
          <w:tab w:val="num" w:pos="420"/>
        </w:tabs>
        <w:ind w:left="420" w:hanging="36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20">
    <w:nsid w:val="365773BA"/>
    <w:multiLevelType w:val="multilevel"/>
    <w:tmpl w:val="F0D84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9023528"/>
    <w:multiLevelType w:val="hybridMultilevel"/>
    <w:tmpl w:val="4AEC94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3B8A6D58"/>
    <w:multiLevelType w:val="multilevel"/>
    <w:tmpl w:val="4DD8C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CBF261A"/>
    <w:multiLevelType w:val="hybridMultilevel"/>
    <w:tmpl w:val="F99A1450"/>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D686D1A"/>
    <w:multiLevelType w:val="hybridMultilevel"/>
    <w:tmpl w:val="8190081C"/>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3D6F00CE"/>
    <w:multiLevelType w:val="hybridMultilevel"/>
    <w:tmpl w:val="F964262C"/>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3E8368B4"/>
    <w:multiLevelType w:val="hybridMultilevel"/>
    <w:tmpl w:val="03923E32"/>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3ED532C2"/>
    <w:multiLevelType w:val="multilevel"/>
    <w:tmpl w:val="02D26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558026A"/>
    <w:multiLevelType w:val="hybridMultilevel"/>
    <w:tmpl w:val="7FE85154"/>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57D1A60"/>
    <w:multiLevelType w:val="hybridMultilevel"/>
    <w:tmpl w:val="0C1ABA3E"/>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463D5CF7"/>
    <w:multiLevelType w:val="multilevel"/>
    <w:tmpl w:val="7068A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66C500E"/>
    <w:multiLevelType w:val="hybridMultilevel"/>
    <w:tmpl w:val="ED16F458"/>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477C3129"/>
    <w:multiLevelType w:val="hybridMultilevel"/>
    <w:tmpl w:val="4750332A"/>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4E695534"/>
    <w:multiLevelType w:val="hybridMultilevel"/>
    <w:tmpl w:val="FB5448DA"/>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4E7A6BB4"/>
    <w:multiLevelType w:val="multilevel"/>
    <w:tmpl w:val="4E4C1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0824D96"/>
    <w:multiLevelType w:val="hybridMultilevel"/>
    <w:tmpl w:val="61546252"/>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22A6719"/>
    <w:multiLevelType w:val="hybridMultilevel"/>
    <w:tmpl w:val="0BD8B14E"/>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53147EEE"/>
    <w:multiLevelType w:val="hybridMultilevel"/>
    <w:tmpl w:val="7A7C6816"/>
    <w:lvl w:ilvl="0" w:tplc="C1CE7232">
      <w:start w:val="1"/>
      <w:numFmt w:val="decimal"/>
      <w:lvlText w:val="%1."/>
      <w:lvlJc w:val="left"/>
      <w:pPr>
        <w:tabs>
          <w:tab w:val="num" w:pos="420"/>
        </w:tabs>
        <w:ind w:left="420" w:hanging="360"/>
      </w:pPr>
      <w:rPr>
        <w:rFonts w:cs="Times New Roman" w:hint="default"/>
      </w:rPr>
    </w:lvl>
    <w:lvl w:ilvl="1" w:tplc="08090019">
      <w:start w:val="1"/>
      <w:numFmt w:val="lowerLetter"/>
      <w:lvlText w:val="%2."/>
      <w:lvlJc w:val="left"/>
      <w:pPr>
        <w:tabs>
          <w:tab w:val="num" w:pos="1140"/>
        </w:tabs>
        <w:ind w:left="1140" w:hanging="360"/>
      </w:pPr>
      <w:rPr>
        <w:rFonts w:cs="Times New Roman"/>
      </w:rPr>
    </w:lvl>
    <w:lvl w:ilvl="2" w:tplc="0809001B">
      <w:start w:val="1"/>
      <w:numFmt w:val="lowerRoman"/>
      <w:lvlText w:val="%3."/>
      <w:lvlJc w:val="right"/>
      <w:pPr>
        <w:tabs>
          <w:tab w:val="num" w:pos="1860"/>
        </w:tabs>
        <w:ind w:left="1860" w:hanging="180"/>
      </w:pPr>
      <w:rPr>
        <w:rFonts w:cs="Times New Roman"/>
      </w:rPr>
    </w:lvl>
    <w:lvl w:ilvl="3" w:tplc="0809000F">
      <w:start w:val="1"/>
      <w:numFmt w:val="decimal"/>
      <w:lvlText w:val="%4."/>
      <w:lvlJc w:val="left"/>
      <w:pPr>
        <w:tabs>
          <w:tab w:val="num" w:pos="2580"/>
        </w:tabs>
        <w:ind w:left="2580" w:hanging="360"/>
      </w:pPr>
      <w:rPr>
        <w:rFonts w:cs="Times New Roman"/>
      </w:rPr>
    </w:lvl>
    <w:lvl w:ilvl="4" w:tplc="08090019">
      <w:start w:val="1"/>
      <w:numFmt w:val="lowerLetter"/>
      <w:lvlText w:val="%5."/>
      <w:lvlJc w:val="left"/>
      <w:pPr>
        <w:tabs>
          <w:tab w:val="num" w:pos="3300"/>
        </w:tabs>
        <w:ind w:left="3300" w:hanging="360"/>
      </w:pPr>
      <w:rPr>
        <w:rFonts w:cs="Times New Roman"/>
      </w:rPr>
    </w:lvl>
    <w:lvl w:ilvl="5" w:tplc="0809001B">
      <w:start w:val="1"/>
      <w:numFmt w:val="lowerRoman"/>
      <w:lvlText w:val="%6."/>
      <w:lvlJc w:val="right"/>
      <w:pPr>
        <w:tabs>
          <w:tab w:val="num" w:pos="4020"/>
        </w:tabs>
        <w:ind w:left="4020" w:hanging="180"/>
      </w:pPr>
      <w:rPr>
        <w:rFonts w:cs="Times New Roman"/>
      </w:rPr>
    </w:lvl>
    <w:lvl w:ilvl="6" w:tplc="0809000F">
      <w:start w:val="1"/>
      <w:numFmt w:val="decimal"/>
      <w:lvlText w:val="%7."/>
      <w:lvlJc w:val="left"/>
      <w:pPr>
        <w:tabs>
          <w:tab w:val="num" w:pos="4740"/>
        </w:tabs>
        <w:ind w:left="4740" w:hanging="360"/>
      </w:pPr>
      <w:rPr>
        <w:rFonts w:cs="Times New Roman"/>
      </w:rPr>
    </w:lvl>
    <w:lvl w:ilvl="7" w:tplc="08090019">
      <w:start w:val="1"/>
      <w:numFmt w:val="lowerLetter"/>
      <w:lvlText w:val="%8."/>
      <w:lvlJc w:val="left"/>
      <w:pPr>
        <w:tabs>
          <w:tab w:val="num" w:pos="5460"/>
        </w:tabs>
        <w:ind w:left="5460" w:hanging="360"/>
      </w:pPr>
      <w:rPr>
        <w:rFonts w:cs="Times New Roman"/>
      </w:rPr>
    </w:lvl>
    <w:lvl w:ilvl="8" w:tplc="0809001B">
      <w:start w:val="1"/>
      <w:numFmt w:val="lowerRoman"/>
      <w:lvlText w:val="%9."/>
      <w:lvlJc w:val="right"/>
      <w:pPr>
        <w:tabs>
          <w:tab w:val="num" w:pos="6180"/>
        </w:tabs>
        <w:ind w:left="6180" w:hanging="180"/>
      </w:pPr>
      <w:rPr>
        <w:rFonts w:cs="Times New Roman"/>
      </w:rPr>
    </w:lvl>
  </w:abstractNum>
  <w:abstractNum w:abstractNumId="38">
    <w:nsid w:val="603F177E"/>
    <w:multiLevelType w:val="hybridMultilevel"/>
    <w:tmpl w:val="C890C53A"/>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11B223D"/>
    <w:multiLevelType w:val="multilevel"/>
    <w:tmpl w:val="5434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B5290A"/>
    <w:multiLevelType w:val="hybridMultilevel"/>
    <w:tmpl w:val="AF2E12E2"/>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1">
    <w:nsid w:val="670046A1"/>
    <w:multiLevelType w:val="hybridMultilevel"/>
    <w:tmpl w:val="C6FC4F48"/>
    <w:lvl w:ilvl="0" w:tplc="FB42A0EE">
      <w:start w:val="1"/>
      <w:numFmt w:val="decimal"/>
      <w:lvlText w:val="%1."/>
      <w:lvlJc w:val="left"/>
      <w:pPr>
        <w:tabs>
          <w:tab w:val="num" w:pos="1080"/>
        </w:tabs>
        <w:ind w:left="1080" w:hanging="720"/>
      </w:pPr>
      <w:rPr>
        <w:rFonts w:cs="Times New Roman" w:hint="default"/>
        <w:b w:val="0"/>
        <w:b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70B5025"/>
    <w:multiLevelType w:val="hybridMultilevel"/>
    <w:tmpl w:val="CEAE91CC"/>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6B2B150E"/>
    <w:multiLevelType w:val="hybridMultilevel"/>
    <w:tmpl w:val="DC3ED98C"/>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6CC87255"/>
    <w:multiLevelType w:val="hybridMultilevel"/>
    <w:tmpl w:val="02ACF306"/>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0C910F7"/>
    <w:multiLevelType w:val="hybridMultilevel"/>
    <w:tmpl w:val="0D62E836"/>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72C710C8"/>
    <w:multiLevelType w:val="hybridMultilevel"/>
    <w:tmpl w:val="CBA05526"/>
    <w:lvl w:ilvl="0" w:tplc="FB42A0EE">
      <w:start w:val="1"/>
      <w:numFmt w:val="decimal"/>
      <w:lvlText w:val="%1."/>
      <w:lvlJc w:val="left"/>
      <w:pPr>
        <w:tabs>
          <w:tab w:val="num" w:pos="1080"/>
        </w:tabs>
        <w:ind w:left="1080" w:hanging="720"/>
      </w:pPr>
      <w:rPr>
        <w:rFonts w:cs="Times New Roman" w:hint="default"/>
        <w:b w:val="0"/>
        <w:b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EA84089"/>
    <w:multiLevelType w:val="hybridMultilevel"/>
    <w:tmpl w:val="1AC206BE"/>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6"/>
  </w:num>
  <w:num w:numId="2">
    <w:abstractNumId w:val="17"/>
  </w:num>
  <w:num w:numId="3">
    <w:abstractNumId w:val="46"/>
  </w:num>
  <w:num w:numId="4">
    <w:abstractNumId w:val="7"/>
  </w:num>
  <w:num w:numId="5">
    <w:abstractNumId w:val="25"/>
  </w:num>
  <w:num w:numId="6">
    <w:abstractNumId w:val="41"/>
  </w:num>
  <w:num w:numId="7">
    <w:abstractNumId w:val="28"/>
  </w:num>
  <w:num w:numId="8">
    <w:abstractNumId w:val="42"/>
  </w:num>
  <w:num w:numId="9">
    <w:abstractNumId w:val="23"/>
  </w:num>
  <w:num w:numId="10">
    <w:abstractNumId w:val="44"/>
  </w:num>
  <w:num w:numId="11">
    <w:abstractNumId w:val="14"/>
  </w:num>
  <w:num w:numId="12">
    <w:abstractNumId w:val="33"/>
  </w:num>
  <w:num w:numId="13">
    <w:abstractNumId w:val="43"/>
  </w:num>
  <w:num w:numId="14">
    <w:abstractNumId w:val="2"/>
  </w:num>
  <w:num w:numId="15">
    <w:abstractNumId w:val="6"/>
  </w:num>
  <w:num w:numId="16">
    <w:abstractNumId w:val="45"/>
  </w:num>
  <w:num w:numId="17">
    <w:abstractNumId w:val="3"/>
  </w:num>
  <w:num w:numId="18">
    <w:abstractNumId w:val="18"/>
  </w:num>
  <w:num w:numId="19">
    <w:abstractNumId w:val="26"/>
  </w:num>
  <w:num w:numId="20">
    <w:abstractNumId w:val="32"/>
  </w:num>
  <w:num w:numId="21">
    <w:abstractNumId w:val="5"/>
  </w:num>
  <w:num w:numId="22">
    <w:abstractNumId w:val="24"/>
  </w:num>
  <w:num w:numId="23">
    <w:abstractNumId w:val="11"/>
  </w:num>
  <w:num w:numId="24">
    <w:abstractNumId w:val="47"/>
  </w:num>
  <w:num w:numId="25">
    <w:abstractNumId w:val="38"/>
  </w:num>
  <w:num w:numId="26">
    <w:abstractNumId w:val="36"/>
  </w:num>
  <w:num w:numId="27">
    <w:abstractNumId w:val="29"/>
  </w:num>
  <w:num w:numId="28">
    <w:abstractNumId w:val="31"/>
  </w:num>
  <w:num w:numId="29">
    <w:abstractNumId w:val="9"/>
  </w:num>
  <w:num w:numId="30">
    <w:abstractNumId w:val="21"/>
  </w:num>
  <w:num w:numId="31">
    <w:abstractNumId w:val="10"/>
  </w:num>
  <w:num w:numId="32">
    <w:abstractNumId w:val="40"/>
  </w:num>
  <w:num w:numId="33">
    <w:abstractNumId w:val="37"/>
  </w:num>
  <w:num w:numId="34">
    <w:abstractNumId w:val="0"/>
  </w:num>
  <w:num w:numId="35">
    <w:abstractNumId w:val="8"/>
  </w:num>
  <w:num w:numId="36">
    <w:abstractNumId w:val="13"/>
  </w:num>
  <w:num w:numId="37">
    <w:abstractNumId w:val="22"/>
  </w:num>
  <w:num w:numId="38">
    <w:abstractNumId w:val="34"/>
  </w:num>
  <w:num w:numId="39">
    <w:abstractNumId w:val="30"/>
  </w:num>
  <w:num w:numId="40">
    <w:abstractNumId w:val="27"/>
  </w:num>
  <w:num w:numId="41">
    <w:abstractNumId w:val="20"/>
  </w:num>
  <w:num w:numId="42">
    <w:abstractNumId w:val="1"/>
  </w:num>
  <w:num w:numId="43">
    <w:abstractNumId w:val="19"/>
  </w:num>
  <w:num w:numId="44">
    <w:abstractNumId w:val="35"/>
  </w:num>
  <w:num w:numId="45">
    <w:abstractNumId w:val="15"/>
  </w:num>
  <w:num w:numId="46">
    <w:abstractNumId w:val="4"/>
  </w:num>
  <w:num w:numId="47">
    <w:abstractNumId w:val="3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B6"/>
    <w:rsid w:val="00000B20"/>
    <w:rsid w:val="00000C38"/>
    <w:rsid w:val="00001239"/>
    <w:rsid w:val="00001902"/>
    <w:rsid w:val="000030D4"/>
    <w:rsid w:val="0000399E"/>
    <w:rsid w:val="00004D33"/>
    <w:rsid w:val="00005990"/>
    <w:rsid w:val="00005C23"/>
    <w:rsid w:val="00006860"/>
    <w:rsid w:val="000073D1"/>
    <w:rsid w:val="000074C6"/>
    <w:rsid w:val="0001012A"/>
    <w:rsid w:val="00011673"/>
    <w:rsid w:val="000120A2"/>
    <w:rsid w:val="00014355"/>
    <w:rsid w:val="00014961"/>
    <w:rsid w:val="000157BE"/>
    <w:rsid w:val="00015FF8"/>
    <w:rsid w:val="00016909"/>
    <w:rsid w:val="00017A79"/>
    <w:rsid w:val="00020438"/>
    <w:rsid w:val="00022798"/>
    <w:rsid w:val="0002372F"/>
    <w:rsid w:val="00023EBD"/>
    <w:rsid w:val="00025114"/>
    <w:rsid w:val="00025C7F"/>
    <w:rsid w:val="000265BA"/>
    <w:rsid w:val="00026999"/>
    <w:rsid w:val="0003001F"/>
    <w:rsid w:val="0003038F"/>
    <w:rsid w:val="000308A0"/>
    <w:rsid w:val="00030B41"/>
    <w:rsid w:val="0003105C"/>
    <w:rsid w:val="000325B3"/>
    <w:rsid w:val="00033C97"/>
    <w:rsid w:val="000345BE"/>
    <w:rsid w:val="00034E16"/>
    <w:rsid w:val="00036E66"/>
    <w:rsid w:val="0003746C"/>
    <w:rsid w:val="00040136"/>
    <w:rsid w:val="0004110F"/>
    <w:rsid w:val="00041F7B"/>
    <w:rsid w:val="00042899"/>
    <w:rsid w:val="00043617"/>
    <w:rsid w:val="00044581"/>
    <w:rsid w:val="000445F2"/>
    <w:rsid w:val="000448D1"/>
    <w:rsid w:val="00045B15"/>
    <w:rsid w:val="00045B9B"/>
    <w:rsid w:val="00046321"/>
    <w:rsid w:val="00046A3E"/>
    <w:rsid w:val="00046E44"/>
    <w:rsid w:val="00047466"/>
    <w:rsid w:val="0004768B"/>
    <w:rsid w:val="00047870"/>
    <w:rsid w:val="00047A64"/>
    <w:rsid w:val="00047B58"/>
    <w:rsid w:val="00047CB7"/>
    <w:rsid w:val="00047D28"/>
    <w:rsid w:val="00047DBA"/>
    <w:rsid w:val="00050D97"/>
    <w:rsid w:val="00051340"/>
    <w:rsid w:val="00051EFF"/>
    <w:rsid w:val="000540CB"/>
    <w:rsid w:val="00054B89"/>
    <w:rsid w:val="00054D37"/>
    <w:rsid w:val="00055614"/>
    <w:rsid w:val="00055A6B"/>
    <w:rsid w:val="00055EB2"/>
    <w:rsid w:val="0005716F"/>
    <w:rsid w:val="00057850"/>
    <w:rsid w:val="000600D0"/>
    <w:rsid w:val="000601BF"/>
    <w:rsid w:val="00060249"/>
    <w:rsid w:val="00060344"/>
    <w:rsid w:val="00060DDF"/>
    <w:rsid w:val="000611C0"/>
    <w:rsid w:val="0006211B"/>
    <w:rsid w:val="0006255B"/>
    <w:rsid w:val="0006442C"/>
    <w:rsid w:val="000645F1"/>
    <w:rsid w:val="00064D5E"/>
    <w:rsid w:val="00065B92"/>
    <w:rsid w:val="00066578"/>
    <w:rsid w:val="00070C94"/>
    <w:rsid w:val="00071AFD"/>
    <w:rsid w:val="00074D75"/>
    <w:rsid w:val="00075ADE"/>
    <w:rsid w:val="00076DA2"/>
    <w:rsid w:val="0007741C"/>
    <w:rsid w:val="00077705"/>
    <w:rsid w:val="00077D7B"/>
    <w:rsid w:val="0008048E"/>
    <w:rsid w:val="00082418"/>
    <w:rsid w:val="00083813"/>
    <w:rsid w:val="0008535A"/>
    <w:rsid w:val="00085CAB"/>
    <w:rsid w:val="0008625A"/>
    <w:rsid w:val="0008750B"/>
    <w:rsid w:val="00087888"/>
    <w:rsid w:val="00087B28"/>
    <w:rsid w:val="00087C81"/>
    <w:rsid w:val="0009040A"/>
    <w:rsid w:val="000908A4"/>
    <w:rsid w:val="000912BF"/>
    <w:rsid w:val="000937D4"/>
    <w:rsid w:val="000938AD"/>
    <w:rsid w:val="000940FF"/>
    <w:rsid w:val="00094CF6"/>
    <w:rsid w:val="00094D4C"/>
    <w:rsid w:val="000A0079"/>
    <w:rsid w:val="000A1722"/>
    <w:rsid w:val="000A18B3"/>
    <w:rsid w:val="000A19B0"/>
    <w:rsid w:val="000A19F7"/>
    <w:rsid w:val="000A3199"/>
    <w:rsid w:val="000A36AE"/>
    <w:rsid w:val="000A3C1C"/>
    <w:rsid w:val="000A3C2A"/>
    <w:rsid w:val="000A419E"/>
    <w:rsid w:val="000A4F0D"/>
    <w:rsid w:val="000A50EE"/>
    <w:rsid w:val="000A5586"/>
    <w:rsid w:val="000A561B"/>
    <w:rsid w:val="000A77C5"/>
    <w:rsid w:val="000A79FF"/>
    <w:rsid w:val="000B0FEC"/>
    <w:rsid w:val="000B122E"/>
    <w:rsid w:val="000B1236"/>
    <w:rsid w:val="000B1567"/>
    <w:rsid w:val="000B2137"/>
    <w:rsid w:val="000B2346"/>
    <w:rsid w:val="000B4041"/>
    <w:rsid w:val="000B59E2"/>
    <w:rsid w:val="000B672B"/>
    <w:rsid w:val="000B683D"/>
    <w:rsid w:val="000B6BB6"/>
    <w:rsid w:val="000B6E3A"/>
    <w:rsid w:val="000B743D"/>
    <w:rsid w:val="000B7590"/>
    <w:rsid w:val="000B7CCE"/>
    <w:rsid w:val="000B7DF9"/>
    <w:rsid w:val="000C04AE"/>
    <w:rsid w:val="000C0722"/>
    <w:rsid w:val="000C0CA1"/>
    <w:rsid w:val="000C2856"/>
    <w:rsid w:val="000C4D34"/>
    <w:rsid w:val="000C59EB"/>
    <w:rsid w:val="000C63F7"/>
    <w:rsid w:val="000C6826"/>
    <w:rsid w:val="000C6B2B"/>
    <w:rsid w:val="000C6B3B"/>
    <w:rsid w:val="000C7166"/>
    <w:rsid w:val="000C7799"/>
    <w:rsid w:val="000D0E8B"/>
    <w:rsid w:val="000D304A"/>
    <w:rsid w:val="000D4CD3"/>
    <w:rsid w:val="000D51B2"/>
    <w:rsid w:val="000D5C9A"/>
    <w:rsid w:val="000D5FF4"/>
    <w:rsid w:val="000D6272"/>
    <w:rsid w:val="000D6F85"/>
    <w:rsid w:val="000D7833"/>
    <w:rsid w:val="000E1093"/>
    <w:rsid w:val="000E2176"/>
    <w:rsid w:val="000E2381"/>
    <w:rsid w:val="000E23E9"/>
    <w:rsid w:val="000E27CB"/>
    <w:rsid w:val="000E362E"/>
    <w:rsid w:val="000E3767"/>
    <w:rsid w:val="000E39A1"/>
    <w:rsid w:val="000E4667"/>
    <w:rsid w:val="000E72ED"/>
    <w:rsid w:val="000E7809"/>
    <w:rsid w:val="000E7B9A"/>
    <w:rsid w:val="000F0D4B"/>
    <w:rsid w:val="000F0E82"/>
    <w:rsid w:val="000F10E0"/>
    <w:rsid w:val="000F1A68"/>
    <w:rsid w:val="000F1E9A"/>
    <w:rsid w:val="000F3E60"/>
    <w:rsid w:val="000F3F68"/>
    <w:rsid w:val="000F456F"/>
    <w:rsid w:val="000F47C8"/>
    <w:rsid w:val="000F4C98"/>
    <w:rsid w:val="000F5CC6"/>
    <w:rsid w:val="000F6745"/>
    <w:rsid w:val="000F6930"/>
    <w:rsid w:val="000F6959"/>
    <w:rsid w:val="000F71E7"/>
    <w:rsid w:val="000F7CFA"/>
    <w:rsid w:val="000F7F84"/>
    <w:rsid w:val="00100038"/>
    <w:rsid w:val="0010027C"/>
    <w:rsid w:val="001012FB"/>
    <w:rsid w:val="00101B52"/>
    <w:rsid w:val="001021EE"/>
    <w:rsid w:val="0010273D"/>
    <w:rsid w:val="00102A48"/>
    <w:rsid w:val="001031EB"/>
    <w:rsid w:val="00103649"/>
    <w:rsid w:val="00103774"/>
    <w:rsid w:val="00103CBE"/>
    <w:rsid w:val="00103FEA"/>
    <w:rsid w:val="0010428F"/>
    <w:rsid w:val="00107449"/>
    <w:rsid w:val="00107D2D"/>
    <w:rsid w:val="00110569"/>
    <w:rsid w:val="00110C45"/>
    <w:rsid w:val="00111966"/>
    <w:rsid w:val="0011240F"/>
    <w:rsid w:val="00113140"/>
    <w:rsid w:val="00113508"/>
    <w:rsid w:val="00113878"/>
    <w:rsid w:val="00122104"/>
    <w:rsid w:val="00122274"/>
    <w:rsid w:val="0012357B"/>
    <w:rsid w:val="00123B9E"/>
    <w:rsid w:val="00123BF3"/>
    <w:rsid w:val="00124170"/>
    <w:rsid w:val="001243D2"/>
    <w:rsid w:val="001245C2"/>
    <w:rsid w:val="00125B2B"/>
    <w:rsid w:val="00126E9F"/>
    <w:rsid w:val="0013009C"/>
    <w:rsid w:val="001314E6"/>
    <w:rsid w:val="00131D99"/>
    <w:rsid w:val="00132621"/>
    <w:rsid w:val="001326A1"/>
    <w:rsid w:val="00133EA5"/>
    <w:rsid w:val="00134454"/>
    <w:rsid w:val="00134705"/>
    <w:rsid w:val="00134B83"/>
    <w:rsid w:val="001350F6"/>
    <w:rsid w:val="00135E2E"/>
    <w:rsid w:val="00136CA8"/>
    <w:rsid w:val="001370F2"/>
    <w:rsid w:val="0013740C"/>
    <w:rsid w:val="0014045B"/>
    <w:rsid w:val="001408E4"/>
    <w:rsid w:val="00140CA8"/>
    <w:rsid w:val="00141052"/>
    <w:rsid w:val="0014105A"/>
    <w:rsid w:val="00141818"/>
    <w:rsid w:val="00141E19"/>
    <w:rsid w:val="00143222"/>
    <w:rsid w:val="00143558"/>
    <w:rsid w:val="00143718"/>
    <w:rsid w:val="001458A0"/>
    <w:rsid w:val="001463BA"/>
    <w:rsid w:val="001467E5"/>
    <w:rsid w:val="001471F0"/>
    <w:rsid w:val="0014727C"/>
    <w:rsid w:val="00147756"/>
    <w:rsid w:val="001478C8"/>
    <w:rsid w:val="00150324"/>
    <w:rsid w:val="00150350"/>
    <w:rsid w:val="00150856"/>
    <w:rsid w:val="00150FA8"/>
    <w:rsid w:val="00151328"/>
    <w:rsid w:val="0015185F"/>
    <w:rsid w:val="00153A8A"/>
    <w:rsid w:val="00153AFA"/>
    <w:rsid w:val="001542A2"/>
    <w:rsid w:val="0015549F"/>
    <w:rsid w:val="001559FB"/>
    <w:rsid w:val="00155ECD"/>
    <w:rsid w:val="00156296"/>
    <w:rsid w:val="00156636"/>
    <w:rsid w:val="00157FDB"/>
    <w:rsid w:val="00160E4A"/>
    <w:rsid w:val="00161DD0"/>
    <w:rsid w:val="001623D4"/>
    <w:rsid w:val="00163B49"/>
    <w:rsid w:val="00165C68"/>
    <w:rsid w:val="0016618C"/>
    <w:rsid w:val="001670C1"/>
    <w:rsid w:val="0016798E"/>
    <w:rsid w:val="00167B72"/>
    <w:rsid w:val="001712D0"/>
    <w:rsid w:val="00172D2D"/>
    <w:rsid w:val="00173265"/>
    <w:rsid w:val="00174651"/>
    <w:rsid w:val="00175896"/>
    <w:rsid w:val="00175B1F"/>
    <w:rsid w:val="00175BA9"/>
    <w:rsid w:val="00176400"/>
    <w:rsid w:val="001765A9"/>
    <w:rsid w:val="00176A5D"/>
    <w:rsid w:val="00177024"/>
    <w:rsid w:val="0017745D"/>
    <w:rsid w:val="00177FE0"/>
    <w:rsid w:val="00180500"/>
    <w:rsid w:val="001806D8"/>
    <w:rsid w:val="00181A38"/>
    <w:rsid w:val="00182930"/>
    <w:rsid w:val="00182FEA"/>
    <w:rsid w:val="0018362D"/>
    <w:rsid w:val="00184857"/>
    <w:rsid w:val="00184E6B"/>
    <w:rsid w:val="00184E6D"/>
    <w:rsid w:val="001853DA"/>
    <w:rsid w:val="001856B5"/>
    <w:rsid w:val="00185F49"/>
    <w:rsid w:val="00186520"/>
    <w:rsid w:val="0018664F"/>
    <w:rsid w:val="00190F5E"/>
    <w:rsid w:val="00191C13"/>
    <w:rsid w:val="00191C38"/>
    <w:rsid w:val="00192259"/>
    <w:rsid w:val="00193B5E"/>
    <w:rsid w:val="0019494D"/>
    <w:rsid w:val="001956A4"/>
    <w:rsid w:val="00196958"/>
    <w:rsid w:val="00196C76"/>
    <w:rsid w:val="00197640"/>
    <w:rsid w:val="001A042C"/>
    <w:rsid w:val="001A2FEC"/>
    <w:rsid w:val="001A36D9"/>
    <w:rsid w:val="001A3FBD"/>
    <w:rsid w:val="001A4E00"/>
    <w:rsid w:val="001A4FC0"/>
    <w:rsid w:val="001A5E19"/>
    <w:rsid w:val="001A61F4"/>
    <w:rsid w:val="001A7345"/>
    <w:rsid w:val="001B007C"/>
    <w:rsid w:val="001B09DF"/>
    <w:rsid w:val="001B143F"/>
    <w:rsid w:val="001B21A6"/>
    <w:rsid w:val="001B2445"/>
    <w:rsid w:val="001B2A88"/>
    <w:rsid w:val="001B5234"/>
    <w:rsid w:val="001B5B75"/>
    <w:rsid w:val="001B5D3C"/>
    <w:rsid w:val="001B5E33"/>
    <w:rsid w:val="001B6DF0"/>
    <w:rsid w:val="001B6E64"/>
    <w:rsid w:val="001B7712"/>
    <w:rsid w:val="001B7924"/>
    <w:rsid w:val="001C0166"/>
    <w:rsid w:val="001C020A"/>
    <w:rsid w:val="001C079F"/>
    <w:rsid w:val="001C194F"/>
    <w:rsid w:val="001C1A00"/>
    <w:rsid w:val="001C20B1"/>
    <w:rsid w:val="001C5407"/>
    <w:rsid w:val="001C62D4"/>
    <w:rsid w:val="001C771B"/>
    <w:rsid w:val="001C7888"/>
    <w:rsid w:val="001D027F"/>
    <w:rsid w:val="001D0D63"/>
    <w:rsid w:val="001D1948"/>
    <w:rsid w:val="001D399A"/>
    <w:rsid w:val="001D4155"/>
    <w:rsid w:val="001D508E"/>
    <w:rsid w:val="001D580B"/>
    <w:rsid w:val="001D73E2"/>
    <w:rsid w:val="001D7E26"/>
    <w:rsid w:val="001E0B29"/>
    <w:rsid w:val="001E10B2"/>
    <w:rsid w:val="001E20EA"/>
    <w:rsid w:val="001E3D8A"/>
    <w:rsid w:val="001E3FF0"/>
    <w:rsid w:val="001E42A2"/>
    <w:rsid w:val="001E47E1"/>
    <w:rsid w:val="001E57DC"/>
    <w:rsid w:val="001E67E9"/>
    <w:rsid w:val="001E695D"/>
    <w:rsid w:val="001F0839"/>
    <w:rsid w:val="001F0B54"/>
    <w:rsid w:val="001F0CD0"/>
    <w:rsid w:val="001F0D04"/>
    <w:rsid w:val="001F15E4"/>
    <w:rsid w:val="001F1E31"/>
    <w:rsid w:val="001F20BA"/>
    <w:rsid w:val="001F24F2"/>
    <w:rsid w:val="001F2C02"/>
    <w:rsid w:val="001F50E2"/>
    <w:rsid w:val="001F52AE"/>
    <w:rsid w:val="001F62F9"/>
    <w:rsid w:val="001F645E"/>
    <w:rsid w:val="001F74F5"/>
    <w:rsid w:val="001F7BE3"/>
    <w:rsid w:val="0020046A"/>
    <w:rsid w:val="00200479"/>
    <w:rsid w:val="0020125E"/>
    <w:rsid w:val="00201FCE"/>
    <w:rsid w:val="00202A5C"/>
    <w:rsid w:val="002038CB"/>
    <w:rsid w:val="00203F03"/>
    <w:rsid w:val="00204A06"/>
    <w:rsid w:val="002059EF"/>
    <w:rsid w:val="00205B22"/>
    <w:rsid w:val="00206208"/>
    <w:rsid w:val="002074FB"/>
    <w:rsid w:val="0020756B"/>
    <w:rsid w:val="00210222"/>
    <w:rsid w:val="00210C5A"/>
    <w:rsid w:val="00211079"/>
    <w:rsid w:val="002114E2"/>
    <w:rsid w:val="00211527"/>
    <w:rsid w:val="00211DA5"/>
    <w:rsid w:val="00212EDD"/>
    <w:rsid w:val="0021359E"/>
    <w:rsid w:val="002147F5"/>
    <w:rsid w:val="00214814"/>
    <w:rsid w:val="0021583A"/>
    <w:rsid w:val="00215A20"/>
    <w:rsid w:val="00217F10"/>
    <w:rsid w:val="0022225A"/>
    <w:rsid w:val="002229A4"/>
    <w:rsid w:val="00224136"/>
    <w:rsid w:val="00225823"/>
    <w:rsid w:val="00225887"/>
    <w:rsid w:val="00225D16"/>
    <w:rsid w:val="002267DA"/>
    <w:rsid w:val="00227308"/>
    <w:rsid w:val="002275F2"/>
    <w:rsid w:val="0023163B"/>
    <w:rsid w:val="002343C6"/>
    <w:rsid w:val="002345A3"/>
    <w:rsid w:val="002348BE"/>
    <w:rsid w:val="00234C33"/>
    <w:rsid w:val="00234C48"/>
    <w:rsid w:val="00234CB9"/>
    <w:rsid w:val="002353F2"/>
    <w:rsid w:val="00235A19"/>
    <w:rsid w:val="00237120"/>
    <w:rsid w:val="002407F8"/>
    <w:rsid w:val="002415DE"/>
    <w:rsid w:val="0024162F"/>
    <w:rsid w:val="0024182E"/>
    <w:rsid w:val="00243706"/>
    <w:rsid w:val="0024378A"/>
    <w:rsid w:val="002439FC"/>
    <w:rsid w:val="00244A32"/>
    <w:rsid w:val="00244B07"/>
    <w:rsid w:val="00244EB8"/>
    <w:rsid w:val="00245EDD"/>
    <w:rsid w:val="0024687E"/>
    <w:rsid w:val="00246A78"/>
    <w:rsid w:val="002474FC"/>
    <w:rsid w:val="00247F22"/>
    <w:rsid w:val="0025097E"/>
    <w:rsid w:val="002514FA"/>
    <w:rsid w:val="002522FA"/>
    <w:rsid w:val="00252D53"/>
    <w:rsid w:val="0025339A"/>
    <w:rsid w:val="0025404F"/>
    <w:rsid w:val="002540AB"/>
    <w:rsid w:val="0025541D"/>
    <w:rsid w:val="00255905"/>
    <w:rsid w:val="00256185"/>
    <w:rsid w:val="002607CE"/>
    <w:rsid w:val="002616F0"/>
    <w:rsid w:val="00261C85"/>
    <w:rsid w:val="00262363"/>
    <w:rsid w:val="00262711"/>
    <w:rsid w:val="00263302"/>
    <w:rsid w:val="002636B4"/>
    <w:rsid w:val="0026380E"/>
    <w:rsid w:val="002639D8"/>
    <w:rsid w:val="00264070"/>
    <w:rsid w:val="00264335"/>
    <w:rsid w:val="00265FFF"/>
    <w:rsid w:val="00266085"/>
    <w:rsid w:val="00266C5D"/>
    <w:rsid w:val="00270274"/>
    <w:rsid w:val="00270EE2"/>
    <w:rsid w:val="00270FBB"/>
    <w:rsid w:val="00271F48"/>
    <w:rsid w:val="00273C2C"/>
    <w:rsid w:val="00274A1D"/>
    <w:rsid w:val="00277F66"/>
    <w:rsid w:val="00281A75"/>
    <w:rsid w:val="00281EB4"/>
    <w:rsid w:val="00282667"/>
    <w:rsid w:val="002831D5"/>
    <w:rsid w:val="0028333F"/>
    <w:rsid w:val="002853E6"/>
    <w:rsid w:val="0028598E"/>
    <w:rsid w:val="00286565"/>
    <w:rsid w:val="00286902"/>
    <w:rsid w:val="0028709C"/>
    <w:rsid w:val="002872EB"/>
    <w:rsid w:val="00287B56"/>
    <w:rsid w:val="00287FFC"/>
    <w:rsid w:val="00291366"/>
    <w:rsid w:val="002918A1"/>
    <w:rsid w:val="002926AD"/>
    <w:rsid w:val="0029283B"/>
    <w:rsid w:val="00293846"/>
    <w:rsid w:val="00293C14"/>
    <w:rsid w:val="00293ED7"/>
    <w:rsid w:val="0029412D"/>
    <w:rsid w:val="002943CF"/>
    <w:rsid w:val="00294638"/>
    <w:rsid w:val="002946F7"/>
    <w:rsid w:val="00294EE9"/>
    <w:rsid w:val="0029536F"/>
    <w:rsid w:val="002957CE"/>
    <w:rsid w:val="00295862"/>
    <w:rsid w:val="00295A17"/>
    <w:rsid w:val="00295C34"/>
    <w:rsid w:val="00295DD7"/>
    <w:rsid w:val="0029694C"/>
    <w:rsid w:val="0029746C"/>
    <w:rsid w:val="002A1DB0"/>
    <w:rsid w:val="002A33BD"/>
    <w:rsid w:val="002A6497"/>
    <w:rsid w:val="002A64FF"/>
    <w:rsid w:val="002A70A5"/>
    <w:rsid w:val="002A7E9C"/>
    <w:rsid w:val="002B1365"/>
    <w:rsid w:val="002B2419"/>
    <w:rsid w:val="002B39AC"/>
    <w:rsid w:val="002B49AE"/>
    <w:rsid w:val="002B4A27"/>
    <w:rsid w:val="002B4AEE"/>
    <w:rsid w:val="002B5024"/>
    <w:rsid w:val="002B5409"/>
    <w:rsid w:val="002B615A"/>
    <w:rsid w:val="002B683E"/>
    <w:rsid w:val="002C04F4"/>
    <w:rsid w:val="002C129B"/>
    <w:rsid w:val="002C1AB8"/>
    <w:rsid w:val="002C22CE"/>
    <w:rsid w:val="002C2349"/>
    <w:rsid w:val="002C28F8"/>
    <w:rsid w:val="002C372A"/>
    <w:rsid w:val="002C38C7"/>
    <w:rsid w:val="002C3BB9"/>
    <w:rsid w:val="002C3CA6"/>
    <w:rsid w:val="002C5ACB"/>
    <w:rsid w:val="002D0974"/>
    <w:rsid w:val="002D0C5F"/>
    <w:rsid w:val="002D119D"/>
    <w:rsid w:val="002D1309"/>
    <w:rsid w:val="002D13F8"/>
    <w:rsid w:val="002D1A07"/>
    <w:rsid w:val="002D20A1"/>
    <w:rsid w:val="002D2282"/>
    <w:rsid w:val="002D34BC"/>
    <w:rsid w:val="002D5713"/>
    <w:rsid w:val="002D5FC2"/>
    <w:rsid w:val="002D6FF2"/>
    <w:rsid w:val="002E0F44"/>
    <w:rsid w:val="002E102A"/>
    <w:rsid w:val="002E10E2"/>
    <w:rsid w:val="002E2913"/>
    <w:rsid w:val="002E314B"/>
    <w:rsid w:val="002E413B"/>
    <w:rsid w:val="002E43F1"/>
    <w:rsid w:val="002E4869"/>
    <w:rsid w:val="002E4D8F"/>
    <w:rsid w:val="002E5416"/>
    <w:rsid w:val="002E5812"/>
    <w:rsid w:val="002E5FF3"/>
    <w:rsid w:val="002E61AC"/>
    <w:rsid w:val="002E74FD"/>
    <w:rsid w:val="002F002B"/>
    <w:rsid w:val="002F016A"/>
    <w:rsid w:val="002F044F"/>
    <w:rsid w:val="002F0CC0"/>
    <w:rsid w:val="002F14E6"/>
    <w:rsid w:val="002F16D4"/>
    <w:rsid w:val="002F336E"/>
    <w:rsid w:val="002F3A86"/>
    <w:rsid w:val="002F471F"/>
    <w:rsid w:val="002F6E36"/>
    <w:rsid w:val="002F7746"/>
    <w:rsid w:val="0030058C"/>
    <w:rsid w:val="00301806"/>
    <w:rsid w:val="00301948"/>
    <w:rsid w:val="003019DD"/>
    <w:rsid w:val="00302DBE"/>
    <w:rsid w:val="00302FBD"/>
    <w:rsid w:val="003031B3"/>
    <w:rsid w:val="00303502"/>
    <w:rsid w:val="00304B71"/>
    <w:rsid w:val="003050FB"/>
    <w:rsid w:val="0030518A"/>
    <w:rsid w:val="0030605D"/>
    <w:rsid w:val="0030635B"/>
    <w:rsid w:val="0031032F"/>
    <w:rsid w:val="0031068E"/>
    <w:rsid w:val="00310B20"/>
    <w:rsid w:val="00310C55"/>
    <w:rsid w:val="003117E2"/>
    <w:rsid w:val="00313089"/>
    <w:rsid w:val="00313D45"/>
    <w:rsid w:val="00316020"/>
    <w:rsid w:val="00316A76"/>
    <w:rsid w:val="00317237"/>
    <w:rsid w:val="003201DD"/>
    <w:rsid w:val="00320D58"/>
    <w:rsid w:val="00320FC2"/>
    <w:rsid w:val="0032217D"/>
    <w:rsid w:val="003230A1"/>
    <w:rsid w:val="00323424"/>
    <w:rsid w:val="00324297"/>
    <w:rsid w:val="0032435C"/>
    <w:rsid w:val="0032489B"/>
    <w:rsid w:val="00324943"/>
    <w:rsid w:val="00324BC6"/>
    <w:rsid w:val="003256D0"/>
    <w:rsid w:val="00325F5E"/>
    <w:rsid w:val="0032624C"/>
    <w:rsid w:val="003269E3"/>
    <w:rsid w:val="00330A70"/>
    <w:rsid w:val="00333222"/>
    <w:rsid w:val="00333691"/>
    <w:rsid w:val="003336C9"/>
    <w:rsid w:val="003339C0"/>
    <w:rsid w:val="003344FA"/>
    <w:rsid w:val="003345BD"/>
    <w:rsid w:val="00334BA6"/>
    <w:rsid w:val="00336407"/>
    <w:rsid w:val="003364EA"/>
    <w:rsid w:val="00337051"/>
    <w:rsid w:val="003378E2"/>
    <w:rsid w:val="003409BB"/>
    <w:rsid w:val="0034202C"/>
    <w:rsid w:val="0034232F"/>
    <w:rsid w:val="003426F0"/>
    <w:rsid w:val="00342D08"/>
    <w:rsid w:val="003431A6"/>
    <w:rsid w:val="00343579"/>
    <w:rsid w:val="00343B78"/>
    <w:rsid w:val="0034597D"/>
    <w:rsid w:val="00345CDD"/>
    <w:rsid w:val="00345E2F"/>
    <w:rsid w:val="003462C1"/>
    <w:rsid w:val="003475FE"/>
    <w:rsid w:val="00347CCA"/>
    <w:rsid w:val="00350855"/>
    <w:rsid w:val="00351EC7"/>
    <w:rsid w:val="00352640"/>
    <w:rsid w:val="00352CA5"/>
    <w:rsid w:val="00352F81"/>
    <w:rsid w:val="0035332E"/>
    <w:rsid w:val="0035387F"/>
    <w:rsid w:val="003540E6"/>
    <w:rsid w:val="0035436F"/>
    <w:rsid w:val="00355104"/>
    <w:rsid w:val="00355144"/>
    <w:rsid w:val="003576A0"/>
    <w:rsid w:val="003578AE"/>
    <w:rsid w:val="003601EB"/>
    <w:rsid w:val="00360508"/>
    <w:rsid w:val="00361093"/>
    <w:rsid w:val="003614A9"/>
    <w:rsid w:val="00361947"/>
    <w:rsid w:val="00362716"/>
    <w:rsid w:val="00362EAA"/>
    <w:rsid w:val="00365097"/>
    <w:rsid w:val="003651D4"/>
    <w:rsid w:val="003655FE"/>
    <w:rsid w:val="00367799"/>
    <w:rsid w:val="0037050B"/>
    <w:rsid w:val="003706EA"/>
    <w:rsid w:val="0037073A"/>
    <w:rsid w:val="00370BCE"/>
    <w:rsid w:val="003710E3"/>
    <w:rsid w:val="0037228C"/>
    <w:rsid w:val="00373237"/>
    <w:rsid w:val="003733B6"/>
    <w:rsid w:val="003739AB"/>
    <w:rsid w:val="00374225"/>
    <w:rsid w:val="00375355"/>
    <w:rsid w:val="00376545"/>
    <w:rsid w:val="00376D6C"/>
    <w:rsid w:val="003772A6"/>
    <w:rsid w:val="00377CC7"/>
    <w:rsid w:val="00380A4B"/>
    <w:rsid w:val="00380C10"/>
    <w:rsid w:val="00380DFC"/>
    <w:rsid w:val="003812C1"/>
    <w:rsid w:val="00381D2F"/>
    <w:rsid w:val="00381DF0"/>
    <w:rsid w:val="00383D53"/>
    <w:rsid w:val="003845E7"/>
    <w:rsid w:val="00385948"/>
    <w:rsid w:val="00385D00"/>
    <w:rsid w:val="0038654C"/>
    <w:rsid w:val="003867C7"/>
    <w:rsid w:val="00386D21"/>
    <w:rsid w:val="003879C7"/>
    <w:rsid w:val="00387D20"/>
    <w:rsid w:val="00387D21"/>
    <w:rsid w:val="0039059B"/>
    <w:rsid w:val="00391031"/>
    <w:rsid w:val="00391286"/>
    <w:rsid w:val="00391AC4"/>
    <w:rsid w:val="00391BBB"/>
    <w:rsid w:val="003926CD"/>
    <w:rsid w:val="00392C23"/>
    <w:rsid w:val="00394049"/>
    <w:rsid w:val="003941E4"/>
    <w:rsid w:val="00394D28"/>
    <w:rsid w:val="00395C2D"/>
    <w:rsid w:val="00395F30"/>
    <w:rsid w:val="00396183"/>
    <w:rsid w:val="003964E9"/>
    <w:rsid w:val="00396985"/>
    <w:rsid w:val="00396C8C"/>
    <w:rsid w:val="00397961"/>
    <w:rsid w:val="00397D0E"/>
    <w:rsid w:val="003A0544"/>
    <w:rsid w:val="003A1D41"/>
    <w:rsid w:val="003A22DE"/>
    <w:rsid w:val="003A26FB"/>
    <w:rsid w:val="003A46C5"/>
    <w:rsid w:val="003A5AC6"/>
    <w:rsid w:val="003A5B27"/>
    <w:rsid w:val="003A5B60"/>
    <w:rsid w:val="003A5B75"/>
    <w:rsid w:val="003A5D2F"/>
    <w:rsid w:val="003A7313"/>
    <w:rsid w:val="003A7662"/>
    <w:rsid w:val="003A7CEE"/>
    <w:rsid w:val="003B0306"/>
    <w:rsid w:val="003B0469"/>
    <w:rsid w:val="003B0C43"/>
    <w:rsid w:val="003B206F"/>
    <w:rsid w:val="003B2C86"/>
    <w:rsid w:val="003B35AD"/>
    <w:rsid w:val="003B48D6"/>
    <w:rsid w:val="003B561C"/>
    <w:rsid w:val="003B56B9"/>
    <w:rsid w:val="003B6313"/>
    <w:rsid w:val="003B65BA"/>
    <w:rsid w:val="003B6F96"/>
    <w:rsid w:val="003B70AC"/>
    <w:rsid w:val="003B75EA"/>
    <w:rsid w:val="003C0FA4"/>
    <w:rsid w:val="003C164D"/>
    <w:rsid w:val="003C1F14"/>
    <w:rsid w:val="003C224D"/>
    <w:rsid w:val="003C3747"/>
    <w:rsid w:val="003C3B2A"/>
    <w:rsid w:val="003C4130"/>
    <w:rsid w:val="003C4797"/>
    <w:rsid w:val="003C4A76"/>
    <w:rsid w:val="003C4EA9"/>
    <w:rsid w:val="003C58A8"/>
    <w:rsid w:val="003C5A25"/>
    <w:rsid w:val="003C5A8C"/>
    <w:rsid w:val="003C6BBA"/>
    <w:rsid w:val="003C6F2F"/>
    <w:rsid w:val="003C6FAB"/>
    <w:rsid w:val="003D06FA"/>
    <w:rsid w:val="003D1253"/>
    <w:rsid w:val="003D1688"/>
    <w:rsid w:val="003D17AB"/>
    <w:rsid w:val="003D1D9D"/>
    <w:rsid w:val="003D229A"/>
    <w:rsid w:val="003D2492"/>
    <w:rsid w:val="003D28EF"/>
    <w:rsid w:val="003D2DFA"/>
    <w:rsid w:val="003D3592"/>
    <w:rsid w:val="003D490E"/>
    <w:rsid w:val="003D4CDB"/>
    <w:rsid w:val="003D6248"/>
    <w:rsid w:val="003D745B"/>
    <w:rsid w:val="003D77CB"/>
    <w:rsid w:val="003E16C0"/>
    <w:rsid w:val="003E1BA9"/>
    <w:rsid w:val="003E23B4"/>
    <w:rsid w:val="003E25A5"/>
    <w:rsid w:val="003E28ED"/>
    <w:rsid w:val="003E34FE"/>
    <w:rsid w:val="003E4054"/>
    <w:rsid w:val="003E41A5"/>
    <w:rsid w:val="003E5738"/>
    <w:rsid w:val="003E5F06"/>
    <w:rsid w:val="003E743D"/>
    <w:rsid w:val="003E7510"/>
    <w:rsid w:val="003F124D"/>
    <w:rsid w:val="003F1B2E"/>
    <w:rsid w:val="003F228A"/>
    <w:rsid w:val="003F228C"/>
    <w:rsid w:val="003F3D47"/>
    <w:rsid w:val="003F4C4F"/>
    <w:rsid w:val="003F4F0A"/>
    <w:rsid w:val="003F5242"/>
    <w:rsid w:val="003F5568"/>
    <w:rsid w:val="003F5D59"/>
    <w:rsid w:val="003F659E"/>
    <w:rsid w:val="003F6795"/>
    <w:rsid w:val="00400F1F"/>
    <w:rsid w:val="004027AA"/>
    <w:rsid w:val="0040385A"/>
    <w:rsid w:val="004049A9"/>
    <w:rsid w:val="00404B4F"/>
    <w:rsid w:val="0040524B"/>
    <w:rsid w:val="00406269"/>
    <w:rsid w:val="00406CCC"/>
    <w:rsid w:val="00407B37"/>
    <w:rsid w:val="00407EF7"/>
    <w:rsid w:val="00410082"/>
    <w:rsid w:val="004105BF"/>
    <w:rsid w:val="00410EA1"/>
    <w:rsid w:val="00410FA4"/>
    <w:rsid w:val="0041199B"/>
    <w:rsid w:val="00413039"/>
    <w:rsid w:val="0041387F"/>
    <w:rsid w:val="00414055"/>
    <w:rsid w:val="0041496F"/>
    <w:rsid w:val="00414FD4"/>
    <w:rsid w:val="004151BE"/>
    <w:rsid w:val="00415C58"/>
    <w:rsid w:val="0042048C"/>
    <w:rsid w:val="00420CAC"/>
    <w:rsid w:val="00421B9D"/>
    <w:rsid w:val="004220A1"/>
    <w:rsid w:val="0042216C"/>
    <w:rsid w:val="004229D4"/>
    <w:rsid w:val="004233B2"/>
    <w:rsid w:val="004233B7"/>
    <w:rsid w:val="004234A4"/>
    <w:rsid w:val="00425F7D"/>
    <w:rsid w:val="00426B03"/>
    <w:rsid w:val="00427444"/>
    <w:rsid w:val="00430484"/>
    <w:rsid w:val="00431299"/>
    <w:rsid w:val="004314C6"/>
    <w:rsid w:val="00431546"/>
    <w:rsid w:val="00433D22"/>
    <w:rsid w:val="00433E50"/>
    <w:rsid w:val="0043462A"/>
    <w:rsid w:val="004347AA"/>
    <w:rsid w:val="0043531D"/>
    <w:rsid w:val="00435F86"/>
    <w:rsid w:val="0043680F"/>
    <w:rsid w:val="0043702C"/>
    <w:rsid w:val="004403E2"/>
    <w:rsid w:val="00441510"/>
    <w:rsid w:val="00442328"/>
    <w:rsid w:val="00442DA4"/>
    <w:rsid w:val="0044394C"/>
    <w:rsid w:val="00444283"/>
    <w:rsid w:val="00445D86"/>
    <w:rsid w:val="00446605"/>
    <w:rsid w:val="0044668D"/>
    <w:rsid w:val="0044720F"/>
    <w:rsid w:val="00447216"/>
    <w:rsid w:val="004474F3"/>
    <w:rsid w:val="00447DFA"/>
    <w:rsid w:val="00447FEF"/>
    <w:rsid w:val="00450EC7"/>
    <w:rsid w:val="00452679"/>
    <w:rsid w:val="004544A7"/>
    <w:rsid w:val="004549E6"/>
    <w:rsid w:val="00455F3A"/>
    <w:rsid w:val="00456587"/>
    <w:rsid w:val="00457FE3"/>
    <w:rsid w:val="0046032D"/>
    <w:rsid w:val="0046061A"/>
    <w:rsid w:val="004606FB"/>
    <w:rsid w:val="00460E38"/>
    <w:rsid w:val="00460F82"/>
    <w:rsid w:val="00461206"/>
    <w:rsid w:val="00462F56"/>
    <w:rsid w:val="00463784"/>
    <w:rsid w:val="00463917"/>
    <w:rsid w:val="0046397E"/>
    <w:rsid w:val="00464B85"/>
    <w:rsid w:val="00465065"/>
    <w:rsid w:val="00465E0E"/>
    <w:rsid w:val="00467861"/>
    <w:rsid w:val="004679A7"/>
    <w:rsid w:val="0047072B"/>
    <w:rsid w:val="00470854"/>
    <w:rsid w:val="00471616"/>
    <w:rsid w:val="00471677"/>
    <w:rsid w:val="00471AFB"/>
    <w:rsid w:val="00473C19"/>
    <w:rsid w:val="004741C5"/>
    <w:rsid w:val="0047510B"/>
    <w:rsid w:val="00477566"/>
    <w:rsid w:val="004800B5"/>
    <w:rsid w:val="00480E04"/>
    <w:rsid w:val="00481299"/>
    <w:rsid w:val="00481B24"/>
    <w:rsid w:val="00481CB3"/>
    <w:rsid w:val="00482FB4"/>
    <w:rsid w:val="00483408"/>
    <w:rsid w:val="00483548"/>
    <w:rsid w:val="00483703"/>
    <w:rsid w:val="00483AA0"/>
    <w:rsid w:val="0048484D"/>
    <w:rsid w:val="00485290"/>
    <w:rsid w:val="0048567E"/>
    <w:rsid w:val="00485B23"/>
    <w:rsid w:val="00486A8E"/>
    <w:rsid w:val="00487D32"/>
    <w:rsid w:val="00487EA3"/>
    <w:rsid w:val="004908F2"/>
    <w:rsid w:val="00490ECB"/>
    <w:rsid w:val="004912DF"/>
    <w:rsid w:val="00492746"/>
    <w:rsid w:val="0049290C"/>
    <w:rsid w:val="00492DD9"/>
    <w:rsid w:val="004946B9"/>
    <w:rsid w:val="00496312"/>
    <w:rsid w:val="004963C2"/>
    <w:rsid w:val="00496540"/>
    <w:rsid w:val="00497363"/>
    <w:rsid w:val="00497C57"/>
    <w:rsid w:val="004A032C"/>
    <w:rsid w:val="004A0532"/>
    <w:rsid w:val="004A20FA"/>
    <w:rsid w:val="004A22A8"/>
    <w:rsid w:val="004A2E5D"/>
    <w:rsid w:val="004A3CFC"/>
    <w:rsid w:val="004A45E2"/>
    <w:rsid w:val="004A4729"/>
    <w:rsid w:val="004A4E6D"/>
    <w:rsid w:val="004A514B"/>
    <w:rsid w:val="004A5D59"/>
    <w:rsid w:val="004A6094"/>
    <w:rsid w:val="004A6B36"/>
    <w:rsid w:val="004A7D5B"/>
    <w:rsid w:val="004B0CFD"/>
    <w:rsid w:val="004B141F"/>
    <w:rsid w:val="004B1714"/>
    <w:rsid w:val="004B1BFF"/>
    <w:rsid w:val="004B29C0"/>
    <w:rsid w:val="004B2CCF"/>
    <w:rsid w:val="004B2D0E"/>
    <w:rsid w:val="004B305B"/>
    <w:rsid w:val="004B35D1"/>
    <w:rsid w:val="004B4375"/>
    <w:rsid w:val="004B43CD"/>
    <w:rsid w:val="004B46C4"/>
    <w:rsid w:val="004B783B"/>
    <w:rsid w:val="004B792A"/>
    <w:rsid w:val="004C0122"/>
    <w:rsid w:val="004C0F48"/>
    <w:rsid w:val="004C10AF"/>
    <w:rsid w:val="004C2E07"/>
    <w:rsid w:val="004C2E5C"/>
    <w:rsid w:val="004C3841"/>
    <w:rsid w:val="004C4360"/>
    <w:rsid w:val="004C494B"/>
    <w:rsid w:val="004C52E6"/>
    <w:rsid w:val="004C5D9F"/>
    <w:rsid w:val="004C5DE0"/>
    <w:rsid w:val="004C5FB2"/>
    <w:rsid w:val="004C6116"/>
    <w:rsid w:val="004C6125"/>
    <w:rsid w:val="004C6317"/>
    <w:rsid w:val="004C6342"/>
    <w:rsid w:val="004C7302"/>
    <w:rsid w:val="004D01F6"/>
    <w:rsid w:val="004D0276"/>
    <w:rsid w:val="004D0D1F"/>
    <w:rsid w:val="004D151F"/>
    <w:rsid w:val="004D207D"/>
    <w:rsid w:val="004D2468"/>
    <w:rsid w:val="004D28F6"/>
    <w:rsid w:val="004D3E97"/>
    <w:rsid w:val="004D40B8"/>
    <w:rsid w:val="004D47F1"/>
    <w:rsid w:val="004D5094"/>
    <w:rsid w:val="004D5FB6"/>
    <w:rsid w:val="004D641A"/>
    <w:rsid w:val="004D78E3"/>
    <w:rsid w:val="004E0368"/>
    <w:rsid w:val="004E0551"/>
    <w:rsid w:val="004E0A78"/>
    <w:rsid w:val="004E1AB6"/>
    <w:rsid w:val="004E1DEE"/>
    <w:rsid w:val="004E280C"/>
    <w:rsid w:val="004E2EF9"/>
    <w:rsid w:val="004E38DD"/>
    <w:rsid w:val="004E45B3"/>
    <w:rsid w:val="004E4824"/>
    <w:rsid w:val="004E4C6B"/>
    <w:rsid w:val="004E5EB2"/>
    <w:rsid w:val="004E6137"/>
    <w:rsid w:val="004E6177"/>
    <w:rsid w:val="004E6E85"/>
    <w:rsid w:val="004E76E3"/>
    <w:rsid w:val="004F00F0"/>
    <w:rsid w:val="004F0A76"/>
    <w:rsid w:val="004F0EB7"/>
    <w:rsid w:val="004F0F24"/>
    <w:rsid w:val="004F14A7"/>
    <w:rsid w:val="004F22F5"/>
    <w:rsid w:val="004F3145"/>
    <w:rsid w:val="004F31D5"/>
    <w:rsid w:val="004F3D1A"/>
    <w:rsid w:val="004F3D87"/>
    <w:rsid w:val="004F5515"/>
    <w:rsid w:val="004F655C"/>
    <w:rsid w:val="004F7598"/>
    <w:rsid w:val="005010B6"/>
    <w:rsid w:val="00501562"/>
    <w:rsid w:val="0050231D"/>
    <w:rsid w:val="00503E1A"/>
    <w:rsid w:val="00503F50"/>
    <w:rsid w:val="005040B9"/>
    <w:rsid w:val="0050452C"/>
    <w:rsid w:val="00504953"/>
    <w:rsid w:val="00504AB8"/>
    <w:rsid w:val="00504CFD"/>
    <w:rsid w:val="00505759"/>
    <w:rsid w:val="0050648E"/>
    <w:rsid w:val="00506D4C"/>
    <w:rsid w:val="00507595"/>
    <w:rsid w:val="00507F05"/>
    <w:rsid w:val="005111BD"/>
    <w:rsid w:val="005116D8"/>
    <w:rsid w:val="00512A00"/>
    <w:rsid w:val="00513273"/>
    <w:rsid w:val="00513417"/>
    <w:rsid w:val="00513440"/>
    <w:rsid w:val="0051368B"/>
    <w:rsid w:val="00513DCE"/>
    <w:rsid w:val="005145D2"/>
    <w:rsid w:val="00514AD5"/>
    <w:rsid w:val="00514DA4"/>
    <w:rsid w:val="00514E99"/>
    <w:rsid w:val="00515CA1"/>
    <w:rsid w:val="005167A7"/>
    <w:rsid w:val="00516B67"/>
    <w:rsid w:val="00516CC0"/>
    <w:rsid w:val="0051732F"/>
    <w:rsid w:val="005173B4"/>
    <w:rsid w:val="00517476"/>
    <w:rsid w:val="005201A9"/>
    <w:rsid w:val="005206A1"/>
    <w:rsid w:val="0052109A"/>
    <w:rsid w:val="00521D7A"/>
    <w:rsid w:val="00523D99"/>
    <w:rsid w:val="0052438E"/>
    <w:rsid w:val="005274A9"/>
    <w:rsid w:val="00530087"/>
    <w:rsid w:val="0053178B"/>
    <w:rsid w:val="00531EB8"/>
    <w:rsid w:val="00532FFB"/>
    <w:rsid w:val="00534431"/>
    <w:rsid w:val="0053447A"/>
    <w:rsid w:val="005349DF"/>
    <w:rsid w:val="00534EB3"/>
    <w:rsid w:val="00535EB6"/>
    <w:rsid w:val="005360B9"/>
    <w:rsid w:val="0053619A"/>
    <w:rsid w:val="00536304"/>
    <w:rsid w:val="00536981"/>
    <w:rsid w:val="00536A8A"/>
    <w:rsid w:val="00536D8C"/>
    <w:rsid w:val="00537258"/>
    <w:rsid w:val="00537297"/>
    <w:rsid w:val="00540484"/>
    <w:rsid w:val="00540977"/>
    <w:rsid w:val="00540E43"/>
    <w:rsid w:val="00541473"/>
    <w:rsid w:val="0054154B"/>
    <w:rsid w:val="00541C26"/>
    <w:rsid w:val="00542888"/>
    <w:rsid w:val="005438B8"/>
    <w:rsid w:val="005447AB"/>
    <w:rsid w:val="00544B75"/>
    <w:rsid w:val="0054579E"/>
    <w:rsid w:val="0054714F"/>
    <w:rsid w:val="005518BF"/>
    <w:rsid w:val="00552A26"/>
    <w:rsid w:val="0055398D"/>
    <w:rsid w:val="0055507C"/>
    <w:rsid w:val="00555111"/>
    <w:rsid w:val="005556A4"/>
    <w:rsid w:val="005561A4"/>
    <w:rsid w:val="00557762"/>
    <w:rsid w:val="00560206"/>
    <w:rsid w:val="005611D7"/>
    <w:rsid w:val="00561FF1"/>
    <w:rsid w:val="0056240D"/>
    <w:rsid w:val="00563812"/>
    <w:rsid w:val="005646DA"/>
    <w:rsid w:val="00564707"/>
    <w:rsid w:val="00566A55"/>
    <w:rsid w:val="0056763B"/>
    <w:rsid w:val="0057085E"/>
    <w:rsid w:val="00571326"/>
    <w:rsid w:val="005732B7"/>
    <w:rsid w:val="00573D70"/>
    <w:rsid w:val="0057479C"/>
    <w:rsid w:val="005749A4"/>
    <w:rsid w:val="005753FA"/>
    <w:rsid w:val="00575FFC"/>
    <w:rsid w:val="005772B0"/>
    <w:rsid w:val="00577444"/>
    <w:rsid w:val="00577C40"/>
    <w:rsid w:val="0058059A"/>
    <w:rsid w:val="00580CD1"/>
    <w:rsid w:val="00581D66"/>
    <w:rsid w:val="00582D6E"/>
    <w:rsid w:val="00582F35"/>
    <w:rsid w:val="00582F37"/>
    <w:rsid w:val="0058401C"/>
    <w:rsid w:val="0058430F"/>
    <w:rsid w:val="00584F63"/>
    <w:rsid w:val="005852DE"/>
    <w:rsid w:val="00585534"/>
    <w:rsid w:val="00585615"/>
    <w:rsid w:val="00585793"/>
    <w:rsid w:val="00587168"/>
    <w:rsid w:val="00587B5B"/>
    <w:rsid w:val="005904EE"/>
    <w:rsid w:val="00590FCD"/>
    <w:rsid w:val="00591149"/>
    <w:rsid w:val="00593414"/>
    <w:rsid w:val="00593C77"/>
    <w:rsid w:val="005948B5"/>
    <w:rsid w:val="005954E5"/>
    <w:rsid w:val="00596B5E"/>
    <w:rsid w:val="005974AE"/>
    <w:rsid w:val="0059768B"/>
    <w:rsid w:val="005977D4"/>
    <w:rsid w:val="005977D8"/>
    <w:rsid w:val="005A0805"/>
    <w:rsid w:val="005A1100"/>
    <w:rsid w:val="005A1A6B"/>
    <w:rsid w:val="005A28C3"/>
    <w:rsid w:val="005A3C74"/>
    <w:rsid w:val="005A565D"/>
    <w:rsid w:val="005A6AC4"/>
    <w:rsid w:val="005A75AB"/>
    <w:rsid w:val="005A7A70"/>
    <w:rsid w:val="005B0BA1"/>
    <w:rsid w:val="005B0C04"/>
    <w:rsid w:val="005B0C1E"/>
    <w:rsid w:val="005B1536"/>
    <w:rsid w:val="005B1F77"/>
    <w:rsid w:val="005B213A"/>
    <w:rsid w:val="005B28EB"/>
    <w:rsid w:val="005B290C"/>
    <w:rsid w:val="005B29D8"/>
    <w:rsid w:val="005B2D4C"/>
    <w:rsid w:val="005B3826"/>
    <w:rsid w:val="005B4A12"/>
    <w:rsid w:val="005B556A"/>
    <w:rsid w:val="005B581E"/>
    <w:rsid w:val="005B6A28"/>
    <w:rsid w:val="005C3375"/>
    <w:rsid w:val="005C4653"/>
    <w:rsid w:val="005C46B5"/>
    <w:rsid w:val="005C5EBB"/>
    <w:rsid w:val="005D091C"/>
    <w:rsid w:val="005D0E11"/>
    <w:rsid w:val="005D25E9"/>
    <w:rsid w:val="005D331B"/>
    <w:rsid w:val="005D3C47"/>
    <w:rsid w:val="005D570D"/>
    <w:rsid w:val="005D5A10"/>
    <w:rsid w:val="005D5D25"/>
    <w:rsid w:val="005D62BD"/>
    <w:rsid w:val="005D71CF"/>
    <w:rsid w:val="005D7B84"/>
    <w:rsid w:val="005E0E7C"/>
    <w:rsid w:val="005E11C5"/>
    <w:rsid w:val="005E1A69"/>
    <w:rsid w:val="005E1B41"/>
    <w:rsid w:val="005E1CC4"/>
    <w:rsid w:val="005E374A"/>
    <w:rsid w:val="005E3A91"/>
    <w:rsid w:val="005E3B2F"/>
    <w:rsid w:val="005E4782"/>
    <w:rsid w:val="005E5248"/>
    <w:rsid w:val="005E68DA"/>
    <w:rsid w:val="005E692B"/>
    <w:rsid w:val="005E7210"/>
    <w:rsid w:val="005E7F61"/>
    <w:rsid w:val="005F110D"/>
    <w:rsid w:val="005F32CF"/>
    <w:rsid w:val="005F481F"/>
    <w:rsid w:val="005F57D0"/>
    <w:rsid w:val="005F5C63"/>
    <w:rsid w:val="005F642F"/>
    <w:rsid w:val="005F6CF7"/>
    <w:rsid w:val="005F764B"/>
    <w:rsid w:val="005F7A61"/>
    <w:rsid w:val="005F7AE9"/>
    <w:rsid w:val="005F7B35"/>
    <w:rsid w:val="005F7D89"/>
    <w:rsid w:val="00600777"/>
    <w:rsid w:val="00601B7E"/>
    <w:rsid w:val="00601D71"/>
    <w:rsid w:val="00602CB0"/>
    <w:rsid w:val="00603864"/>
    <w:rsid w:val="00603D0A"/>
    <w:rsid w:val="0060400C"/>
    <w:rsid w:val="00604D76"/>
    <w:rsid w:val="00605603"/>
    <w:rsid w:val="0060561F"/>
    <w:rsid w:val="006057D8"/>
    <w:rsid w:val="00606624"/>
    <w:rsid w:val="00607BE8"/>
    <w:rsid w:val="00607F43"/>
    <w:rsid w:val="0061065A"/>
    <w:rsid w:val="00611713"/>
    <w:rsid w:val="00611B8D"/>
    <w:rsid w:val="00612EE6"/>
    <w:rsid w:val="006134C7"/>
    <w:rsid w:val="006138CE"/>
    <w:rsid w:val="00613DD2"/>
    <w:rsid w:val="00613F5F"/>
    <w:rsid w:val="00613F79"/>
    <w:rsid w:val="0061439A"/>
    <w:rsid w:val="00614C18"/>
    <w:rsid w:val="00616BCE"/>
    <w:rsid w:val="00616D00"/>
    <w:rsid w:val="00617CA8"/>
    <w:rsid w:val="00617E97"/>
    <w:rsid w:val="0062017A"/>
    <w:rsid w:val="00624700"/>
    <w:rsid w:val="0062567E"/>
    <w:rsid w:val="00625CAA"/>
    <w:rsid w:val="00627F8D"/>
    <w:rsid w:val="0063072B"/>
    <w:rsid w:val="00631A43"/>
    <w:rsid w:val="00631BF4"/>
    <w:rsid w:val="00632F38"/>
    <w:rsid w:val="00633657"/>
    <w:rsid w:val="00633E5D"/>
    <w:rsid w:val="00633F45"/>
    <w:rsid w:val="00634E6E"/>
    <w:rsid w:val="0063586E"/>
    <w:rsid w:val="006358BF"/>
    <w:rsid w:val="0063639F"/>
    <w:rsid w:val="0063769C"/>
    <w:rsid w:val="00637E58"/>
    <w:rsid w:val="00640A3D"/>
    <w:rsid w:val="006415CA"/>
    <w:rsid w:val="00641825"/>
    <w:rsid w:val="0064204B"/>
    <w:rsid w:val="00642924"/>
    <w:rsid w:val="0064343F"/>
    <w:rsid w:val="0064390C"/>
    <w:rsid w:val="00643981"/>
    <w:rsid w:val="0064676A"/>
    <w:rsid w:val="0064678F"/>
    <w:rsid w:val="006472E5"/>
    <w:rsid w:val="00652600"/>
    <w:rsid w:val="00652D24"/>
    <w:rsid w:val="00653752"/>
    <w:rsid w:val="0065430E"/>
    <w:rsid w:val="00654F52"/>
    <w:rsid w:val="00655EEC"/>
    <w:rsid w:val="00657C5A"/>
    <w:rsid w:val="00660A95"/>
    <w:rsid w:val="006618FF"/>
    <w:rsid w:val="00661A5A"/>
    <w:rsid w:val="00661A98"/>
    <w:rsid w:val="00661CEB"/>
    <w:rsid w:val="0066228E"/>
    <w:rsid w:val="00663329"/>
    <w:rsid w:val="006635BA"/>
    <w:rsid w:val="006639C3"/>
    <w:rsid w:val="0066480C"/>
    <w:rsid w:val="00664D96"/>
    <w:rsid w:val="0066502D"/>
    <w:rsid w:val="00665C89"/>
    <w:rsid w:val="00665DCD"/>
    <w:rsid w:val="0067086A"/>
    <w:rsid w:val="00672DFF"/>
    <w:rsid w:val="00673717"/>
    <w:rsid w:val="0067537D"/>
    <w:rsid w:val="0067782F"/>
    <w:rsid w:val="0068011F"/>
    <w:rsid w:val="00680206"/>
    <w:rsid w:val="00683F52"/>
    <w:rsid w:val="0068708B"/>
    <w:rsid w:val="00687526"/>
    <w:rsid w:val="00690024"/>
    <w:rsid w:val="006900C4"/>
    <w:rsid w:val="00692723"/>
    <w:rsid w:val="00692B89"/>
    <w:rsid w:val="00692FC7"/>
    <w:rsid w:val="006941FA"/>
    <w:rsid w:val="0069454F"/>
    <w:rsid w:val="00694E00"/>
    <w:rsid w:val="00695C56"/>
    <w:rsid w:val="00695D5F"/>
    <w:rsid w:val="006969BE"/>
    <w:rsid w:val="00697834"/>
    <w:rsid w:val="006A11BE"/>
    <w:rsid w:val="006A2160"/>
    <w:rsid w:val="006A280A"/>
    <w:rsid w:val="006A352D"/>
    <w:rsid w:val="006A37FE"/>
    <w:rsid w:val="006A3D15"/>
    <w:rsid w:val="006A44CA"/>
    <w:rsid w:val="006A44E0"/>
    <w:rsid w:val="006A53DE"/>
    <w:rsid w:val="006A5E17"/>
    <w:rsid w:val="006A6105"/>
    <w:rsid w:val="006A6E95"/>
    <w:rsid w:val="006A74B0"/>
    <w:rsid w:val="006B079A"/>
    <w:rsid w:val="006B0E31"/>
    <w:rsid w:val="006B1BE3"/>
    <w:rsid w:val="006B230C"/>
    <w:rsid w:val="006B24EA"/>
    <w:rsid w:val="006B258F"/>
    <w:rsid w:val="006B25D7"/>
    <w:rsid w:val="006B332E"/>
    <w:rsid w:val="006B3C40"/>
    <w:rsid w:val="006B455D"/>
    <w:rsid w:val="006B63F2"/>
    <w:rsid w:val="006B6EA0"/>
    <w:rsid w:val="006C0476"/>
    <w:rsid w:val="006C05CA"/>
    <w:rsid w:val="006C0D7E"/>
    <w:rsid w:val="006C11A3"/>
    <w:rsid w:val="006C11A8"/>
    <w:rsid w:val="006C1399"/>
    <w:rsid w:val="006C1F26"/>
    <w:rsid w:val="006C34E2"/>
    <w:rsid w:val="006C41E2"/>
    <w:rsid w:val="006C42A6"/>
    <w:rsid w:val="006C4E8D"/>
    <w:rsid w:val="006C524F"/>
    <w:rsid w:val="006C5CB7"/>
    <w:rsid w:val="006C62FB"/>
    <w:rsid w:val="006C7A20"/>
    <w:rsid w:val="006C7B19"/>
    <w:rsid w:val="006D00FD"/>
    <w:rsid w:val="006D1440"/>
    <w:rsid w:val="006D1775"/>
    <w:rsid w:val="006D33B1"/>
    <w:rsid w:val="006D3FDE"/>
    <w:rsid w:val="006D4A05"/>
    <w:rsid w:val="006D609F"/>
    <w:rsid w:val="006D6259"/>
    <w:rsid w:val="006D65EA"/>
    <w:rsid w:val="006D6EC6"/>
    <w:rsid w:val="006D70E0"/>
    <w:rsid w:val="006D7131"/>
    <w:rsid w:val="006D7658"/>
    <w:rsid w:val="006D778A"/>
    <w:rsid w:val="006E092E"/>
    <w:rsid w:val="006E0CE8"/>
    <w:rsid w:val="006E15C2"/>
    <w:rsid w:val="006E16E9"/>
    <w:rsid w:val="006E1B47"/>
    <w:rsid w:val="006E1CFA"/>
    <w:rsid w:val="006E252A"/>
    <w:rsid w:val="006E34C0"/>
    <w:rsid w:val="006E38B1"/>
    <w:rsid w:val="006E42B7"/>
    <w:rsid w:val="006E4495"/>
    <w:rsid w:val="006E4CCF"/>
    <w:rsid w:val="006E5930"/>
    <w:rsid w:val="006E6020"/>
    <w:rsid w:val="006E705A"/>
    <w:rsid w:val="006E72CB"/>
    <w:rsid w:val="006E7446"/>
    <w:rsid w:val="006E78C6"/>
    <w:rsid w:val="006F00B0"/>
    <w:rsid w:val="006F07A8"/>
    <w:rsid w:val="006F0B65"/>
    <w:rsid w:val="006F1C53"/>
    <w:rsid w:val="006F1DC5"/>
    <w:rsid w:val="006F328A"/>
    <w:rsid w:val="006F32CE"/>
    <w:rsid w:val="006F6253"/>
    <w:rsid w:val="006F677B"/>
    <w:rsid w:val="006F7037"/>
    <w:rsid w:val="006F7E8B"/>
    <w:rsid w:val="007006FE"/>
    <w:rsid w:val="0070234F"/>
    <w:rsid w:val="0070445C"/>
    <w:rsid w:val="00704A1B"/>
    <w:rsid w:val="00705288"/>
    <w:rsid w:val="00705AF9"/>
    <w:rsid w:val="00705BCF"/>
    <w:rsid w:val="00705C3B"/>
    <w:rsid w:val="00706722"/>
    <w:rsid w:val="00706FC3"/>
    <w:rsid w:val="00707161"/>
    <w:rsid w:val="00707CE8"/>
    <w:rsid w:val="00707D81"/>
    <w:rsid w:val="007104D3"/>
    <w:rsid w:val="00710682"/>
    <w:rsid w:val="0071175C"/>
    <w:rsid w:val="00711BD4"/>
    <w:rsid w:val="00711F50"/>
    <w:rsid w:val="007138FE"/>
    <w:rsid w:val="007139E6"/>
    <w:rsid w:val="00713BB8"/>
    <w:rsid w:val="00714104"/>
    <w:rsid w:val="007156A9"/>
    <w:rsid w:val="00715A6B"/>
    <w:rsid w:val="00715E8D"/>
    <w:rsid w:val="00715F2F"/>
    <w:rsid w:val="00715F76"/>
    <w:rsid w:val="0071658E"/>
    <w:rsid w:val="00720241"/>
    <w:rsid w:val="0072073C"/>
    <w:rsid w:val="0072091D"/>
    <w:rsid w:val="007209D5"/>
    <w:rsid w:val="00721817"/>
    <w:rsid w:val="00721935"/>
    <w:rsid w:val="00721CAF"/>
    <w:rsid w:val="007223BA"/>
    <w:rsid w:val="0072258E"/>
    <w:rsid w:val="00723961"/>
    <w:rsid w:val="00723EC9"/>
    <w:rsid w:val="007244F2"/>
    <w:rsid w:val="007248FF"/>
    <w:rsid w:val="00724CEA"/>
    <w:rsid w:val="00725CBB"/>
    <w:rsid w:val="00726726"/>
    <w:rsid w:val="00726FF3"/>
    <w:rsid w:val="00727046"/>
    <w:rsid w:val="00733E96"/>
    <w:rsid w:val="007349FD"/>
    <w:rsid w:val="00734F91"/>
    <w:rsid w:val="0073543B"/>
    <w:rsid w:val="007357D0"/>
    <w:rsid w:val="00735B55"/>
    <w:rsid w:val="00736C26"/>
    <w:rsid w:val="00740704"/>
    <w:rsid w:val="00741DCC"/>
    <w:rsid w:val="00742A2C"/>
    <w:rsid w:val="00742ADE"/>
    <w:rsid w:val="0074323A"/>
    <w:rsid w:val="00743E05"/>
    <w:rsid w:val="00744556"/>
    <w:rsid w:val="00745437"/>
    <w:rsid w:val="007454DE"/>
    <w:rsid w:val="007466B0"/>
    <w:rsid w:val="00747205"/>
    <w:rsid w:val="007517B1"/>
    <w:rsid w:val="00751E67"/>
    <w:rsid w:val="00754652"/>
    <w:rsid w:val="0075479C"/>
    <w:rsid w:val="007553EA"/>
    <w:rsid w:val="0075558B"/>
    <w:rsid w:val="0075572F"/>
    <w:rsid w:val="00755B5C"/>
    <w:rsid w:val="00755C7A"/>
    <w:rsid w:val="00757B15"/>
    <w:rsid w:val="00760746"/>
    <w:rsid w:val="00761591"/>
    <w:rsid w:val="00761F74"/>
    <w:rsid w:val="007632B0"/>
    <w:rsid w:val="007643B4"/>
    <w:rsid w:val="007673B5"/>
    <w:rsid w:val="00767824"/>
    <w:rsid w:val="00767B38"/>
    <w:rsid w:val="00770D05"/>
    <w:rsid w:val="00770D6D"/>
    <w:rsid w:val="00772859"/>
    <w:rsid w:val="00773EB8"/>
    <w:rsid w:val="0077470A"/>
    <w:rsid w:val="00775264"/>
    <w:rsid w:val="007763B6"/>
    <w:rsid w:val="007766AC"/>
    <w:rsid w:val="00776E73"/>
    <w:rsid w:val="007771BD"/>
    <w:rsid w:val="007778AA"/>
    <w:rsid w:val="00777D3D"/>
    <w:rsid w:val="0078031E"/>
    <w:rsid w:val="007809FF"/>
    <w:rsid w:val="007834AE"/>
    <w:rsid w:val="0078455A"/>
    <w:rsid w:val="00785E53"/>
    <w:rsid w:val="00786C83"/>
    <w:rsid w:val="00790B94"/>
    <w:rsid w:val="00790C9A"/>
    <w:rsid w:val="00791788"/>
    <w:rsid w:val="00791A11"/>
    <w:rsid w:val="00792B18"/>
    <w:rsid w:val="00793013"/>
    <w:rsid w:val="0079323D"/>
    <w:rsid w:val="0079638E"/>
    <w:rsid w:val="007973F7"/>
    <w:rsid w:val="007A08F1"/>
    <w:rsid w:val="007A26CD"/>
    <w:rsid w:val="007A2D3F"/>
    <w:rsid w:val="007A2E16"/>
    <w:rsid w:val="007A3113"/>
    <w:rsid w:val="007A5688"/>
    <w:rsid w:val="007A5CE5"/>
    <w:rsid w:val="007A68BF"/>
    <w:rsid w:val="007A7604"/>
    <w:rsid w:val="007B08B7"/>
    <w:rsid w:val="007B0D7E"/>
    <w:rsid w:val="007B187D"/>
    <w:rsid w:val="007B2444"/>
    <w:rsid w:val="007B3FED"/>
    <w:rsid w:val="007B408F"/>
    <w:rsid w:val="007B46BF"/>
    <w:rsid w:val="007B46DB"/>
    <w:rsid w:val="007B4CAF"/>
    <w:rsid w:val="007B5518"/>
    <w:rsid w:val="007B604D"/>
    <w:rsid w:val="007B64A3"/>
    <w:rsid w:val="007B7446"/>
    <w:rsid w:val="007C0463"/>
    <w:rsid w:val="007C37C1"/>
    <w:rsid w:val="007C39F5"/>
    <w:rsid w:val="007C3C68"/>
    <w:rsid w:val="007C433B"/>
    <w:rsid w:val="007C51B9"/>
    <w:rsid w:val="007C6271"/>
    <w:rsid w:val="007D0469"/>
    <w:rsid w:val="007D1905"/>
    <w:rsid w:val="007D1A2C"/>
    <w:rsid w:val="007D20CC"/>
    <w:rsid w:val="007D239B"/>
    <w:rsid w:val="007D24EA"/>
    <w:rsid w:val="007D26D9"/>
    <w:rsid w:val="007D2A84"/>
    <w:rsid w:val="007D2B1F"/>
    <w:rsid w:val="007D3D8C"/>
    <w:rsid w:val="007D59E3"/>
    <w:rsid w:val="007D7131"/>
    <w:rsid w:val="007E0474"/>
    <w:rsid w:val="007E058D"/>
    <w:rsid w:val="007E0A81"/>
    <w:rsid w:val="007E18C1"/>
    <w:rsid w:val="007E4A4C"/>
    <w:rsid w:val="007F0714"/>
    <w:rsid w:val="007F0AE8"/>
    <w:rsid w:val="007F0F25"/>
    <w:rsid w:val="007F15C7"/>
    <w:rsid w:val="007F33A1"/>
    <w:rsid w:val="007F385C"/>
    <w:rsid w:val="007F3A0D"/>
    <w:rsid w:val="007F3D58"/>
    <w:rsid w:val="007F4810"/>
    <w:rsid w:val="007F4938"/>
    <w:rsid w:val="007F5455"/>
    <w:rsid w:val="007F63F9"/>
    <w:rsid w:val="007F69BA"/>
    <w:rsid w:val="007F6BB6"/>
    <w:rsid w:val="007F7127"/>
    <w:rsid w:val="007F7231"/>
    <w:rsid w:val="0080099B"/>
    <w:rsid w:val="00800CFB"/>
    <w:rsid w:val="00801C3F"/>
    <w:rsid w:val="00801D8A"/>
    <w:rsid w:val="00801F0E"/>
    <w:rsid w:val="0080341B"/>
    <w:rsid w:val="00803658"/>
    <w:rsid w:val="008038C4"/>
    <w:rsid w:val="008050F0"/>
    <w:rsid w:val="0080571C"/>
    <w:rsid w:val="008067EF"/>
    <w:rsid w:val="0080706F"/>
    <w:rsid w:val="00807C7E"/>
    <w:rsid w:val="00811038"/>
    <w:rsid w:val="008110F0"/>
    <w:rsid w:val="008121F7"/>
    <w:rsid w:val="00812203"/>
    <w:rsid w:val="00812548"/>
    <w:rsid w:val="008125AB"/>
    <w:rsid w:val="00812AE1"/>
    <w:rsid w:val="00812CBD"/>
    <w:rsid w:val="00812ECC"/>
    <w:rsid w:val="0081350D"/>
    <w:rsid w:val="00813FAE"/>
    <w:rsid w:val="00814412"/>
    <w:rsid w:val="00815A6C"/>
    <w:rsid w:val="008162A7"/>
    <w:rsid w:val="00816B04"/>
    <w:rsid w:val="00816B0E"/>
    <w:rsid w:val="00820321"/>
    <w:rsid w:val="008214B2"/>
    <w:rsid w:val="00821869"/>
    <w:rsid w:val="00821CDB"/>
    <w:rsid w:val="008226E7"/>
    <w:rsid w:val="00824835"/>
    <w:rsid w:val="00824BB9"/>
    <w:rsid w:val="008252E3"/>
    <w:rsid w:val="00825660"/>
    <w:rsid w:val="00826CFB"/>
    <w:rsid w:val="0083018D"/>
    <w:rsid w:val="00831BB3"/>
    <w:rsid w:val="00832F26"/>
    <w:rsid w:val="00833681"/>
    <w:rsid w:val="00833EDD"/>
    <w:rsid w:val="00834B77"/>
    <w:rsid w:val="008356E4"/>
    <w:rsid w:val="008358FD"/>
    <w:rsid w:val="00836AE4"/>
    <w:rsid w:val="0083764C"/>
    <w:rsid w:val="00840979"/>
    <w:rsid w:val="00841B5C"/>
    <w:rsid w:val="008425A9"/>
    <w:rsid w:val="00842F7B"/>
    <w:rsid w:val="008433C3"/>
    <w:rsid w:val="008440A4"/>
    <w:rsid w:val="00845049"/>
    <w:rsid w:val="008456DA"/>
    <w:rsid w:val="00845B07"/>
    <w:rsid w:val="00846E86"/>
    <w:rsid w:val="008471A5"/>
    <w:rsid w:val="008471DD"/>
    <w:rsid w:val="00850D34"/>
    <w:rsid w:val="0085120A"/>
    <w:rsid w:val="00851310"/>
    <w:rsid w:val="00851438"/>
    <w:rsid w:val="00852079"/>
    <w:rsid w:val="0085450D"/>
    <w:rsid w:val="0085450F"/>
    <w:rsid w:val="0085490A"/>
    <w:rsid w:val="0085565E"/>
    <w:rsid w:val="0085572D"/>
    <w:rsid w:val="00856A2A"/>
    <w:rsid w:val="0085709F"/>
    <w:rsid w:val="00857760"/>
    <w:rsid w:val="00860BA5"/>
    <w:rsid w:val="00860F66"/>
    <w:rsid w:val="00862744"/>
    <w:rsid w:val="00862942"/>
    <w:rsid w:val="00863392"/>
    <w:rsid w:val="00863456"/>
    <w:rsid w:val="0086374A"/>
    <w:rsid w:val="00863912"/>
    <w:rsid w:val="00863B18"/>
    <w:rsid w:val="00863BBB"/>
    <w:rsid w:val="00863E38"/>
    <w:rsid w:val="00865950"/>
    <w:rsid w:val="008660A1"/>
    <w:rsid w:val="00867E33"/>
    <w:rsid w:val="00871A0A"/>
    <w:rsid w:val="00871A51"/>
    <w:rsid w:val="00873545"/>
    <w:rsid w:val="008735F2"/>
    <w:rsid w:val="00874054"/>
    <w:rsid w:val="00874156"/>
    <w:rsid w:val="00874FB6"/>
    <w:rsid w:val="008751A2"/>
    <w:rsid w:val="008756FE"/>
    <w:rsid w:val="0087696C"/>
    <w:rsid w:val="00877B16"/>
    <w:rsid w:val="00877EA5"/>
    <w:rsid w:val="00880C77"/>
    <w:rsid w:val="0088108C"/>
    <w:rsid w:val="008827AE"/>
    <w:rsid w:val="008831E5"/>
    <w:rsid w:val="0088338E"/>
    <w:rsid w:val="00883F77"/>
    <w:rsid w:val="008852EF"/>
    <w:rsid w:val="00885410"/>
    <w:rsid w:val="00890306"/>
    <w:rsid w:val="00891A0A"/>
    <w:rsid w:val="0089232E"/>
    <w:rsid w:val="008934BC"/>
    <w:rsid w:val="0089430F"/>
    <w:rsid w:val="008944A1"/>
    <w:rsid w:val="00896253"/>
    <w:rsid w:val="0089682C"/>
    <w:rsid w:val="00896853"/>
    <w:rsid w:val="00897C9D"/>
    <w:rsid w:val="00897F9F"/>
    <w:rsid w:val="008A01A8"/>
    <w:rsid w:val="008A285F"/>
    <w:rsid w:val="008A2935"/>
    <w:rsid w:val="008A7154"/>
    <w:rsid w:val="008A71D5"/>
    <w:rsid w:val="008A7707"/>
    <w:rsid w:val="008A7B75"/>
    <w:rsid w:val="008B0178"/>
    <w:rsid w:val="008B0827"/>
    <w:rsid w:val="008B08FA"/>
    <w:rsid w:val="008B0ED2"/>
    <w:rsid w:val="008B1F30"/>
    <w:rsid w:val="008B2779"/>
    <w:rsid w:val="008B2783"/>
    <w:rsid w:val="008B3E21"/>
    <w:rsid w:val="008B4017"/>
    <w:rsid w:val="008B4AFD"/>
    <w:rsid w:val="008B50C8"/>
    <w:rsid w:val="008B5F13"/>
    <w:rsid w:val="008B657D"/>
    <w:rsid w:val="008B68B2"/>
    <w:rsid w:val="008B6D1C"/>
    <w:rsid w:val="008B7B13"/>
    <w:rsid w:val="008C0889"/>
    <w:rsid w:val="008C1476"/>
    <w:rsid w:val="008C1672"/>
    <w:rsid w:val="008C181C"/>
    <w:rsid w:val="008C1DE8"/>
    <w:rsid w:val="008C294E"/>
    <w:rsid w:val="008C2950"/>
    <w:rsid w:val="008C29CB"/>
    <w:rsid w:val="008C2DAC"/>
    <w:rsid w:val="008C2DCC"/>
    <w:rsid w:val="008C3361"/>
    <w:rsid w:val="008C35B8"/>
    <w:rsid w:val="008C3651"/>
    <w:rsid w:val="008C3935"/>
    <w:rsid w:val="008C41AD"/>
    <w:rsid w:val="008C42DC"/>
    <w:rsid w:val="008C49B3"/>
    <w:rsid w:val="008C594A"/>
    <w:rsid w:val="008C5C09"/>
    <w:rsid w:val="008C7969"/>
    <w:rsid w:val="008D043D"/>
    <w:rsid w:val="008D0AB0"/>
    <w:rsid w:val="008D1EE3"/>
    <w:rsid w:val="008D2EDE"/>
    <w:rsid w:val="008D32A6"/>
    <w:rsid w:val="008D3E2E"/>
    <w:rsid w:val="008D46EE"/>
    <w:rsid w:val="008D5A23"/>
    <w:rsid w:val="008D7261"/>
    <w:rsid w:val="008D7CA3"/>
    <w:rsid w:val="008E17F3"/>
    <w:rsid w:val="008E188B"/>
    <w:rsid w:val="008E193F"/>
    <w:rsid w:val="008E3F95"/>
    <w:rsid w:val="008E49A2"/>
    <w:rsid w:val="008E54D0"/>
    <w:rsid w:val="008E5DB2"/>
    <w:rsid w:val="008E5DED"/>
    <w:rsid w:val="008E5E67"/>
    <w:rsid w:val="008E65F1"/>
    <w:rsid w:val="008F0346"/>
    <w:rsid w:val="008F07C8"/>
    <w:rsid w:val="008F0C12"/>
    <w:rsid w:val="008F1363"/>
    <w:rsid w:val="008F1757"/>
    <w:rsid w:val="008F1D06"/>
    <w:rsid w:val="008F1E23"/>
    <w:rsid w:val="008F1EBA"/>
    <w:rsid w:val="008F1F4C"/>
    <w:rsid w:val="008F247D"/>
    <w:rsid w:val="008F2D53"/>
    <w:rsid w:val="008F2E15"/>
    <w:rsid w:val="008F3BBE"/>
    <w:rsid w:val="008F5D73"/>
    <w:rsid w:val="008F6523"/>
    <w:rsid w:val="008F67EE"/>
    <w:rsid w:val="008F7B21"/>
    <w:rsid w:val="008F7F5D"/>
    <w:rsid w:val="009000FC"/>
    <w:rsid w:val="009006B7"/>
    <w:rsid w:val="00901218"/>
    <w:rsid w:val="00902859"/>
    <w:rsid w:val="00902B88"/>
    <w:rsid w:val="009040CB"/>
    <w:rsid w:val="009041FC"/>
    <w:rsid w:val="009050C4"/>
    <w:rsid w:val="00905574"/>
    <w:rsid w:val="00905ED3"/>
    <w:rsid w:val="009064D0"/>
    <w:rsid w:val="00906750"/>
    <w:rsid w:val="009067D0"/>
    <w:rsid w:val="00907AF5"/>
    <w:rsid w:val="00907B47"/>
    <w:rsid w:val="00907F9F"/>
    <w:rsid w:val="0091091A"/>
    <w:rsid w:val="00910CE6"/>
    <w:rsid w:val="009112DF"/>
    <w:rsid w:val="0091144E"/>
    <w:rsid w:val="00911BB6"/>
    <w:rsid w:val="00911BC5"/>
    <w:rsid w:val="009124CC"/>
    <w:rsid w:val="00912687"/>
    <w:rsid w:val="00912A13"/>
    <w:rsid w:val="00914823"/>
    <w:rsid w:val="0091505E"/>
    <w:rsid w:val="0091736B"/>
    <w:rsid w:val="00917F46"/>
    <w:rsid w:val="00920A0A"/>
    <w:rsid w:val="00920F97"/>
    <w:rsid w:val="00921AED"/>
    <w:rsid w:val="00922195"/>
    <w:rsid w:val="0092367E"/>
    <w:rsid w:val="0092409C"/>
    <w:rsid w:val="00924156"/>
    <w:rsid w:val="0092477E"/>
    <w:rsid w:val="00924ABD"/>
    <w:rsid w:val="00925455"/>
    <w:rsid w:val="00925569"/>
    <w:rsid w:val="00927760"/>
    <w:rsid w:val="00927761"/>
    <w:rsid w:val="0093003E"/>
    <w:rsid w:val="00931AF9"/>
    <w:rsid w:val="00931EA5"/>
    <w:rsid w:val="00932937"/>
    <w:rsid w:val="00933AFD"/>
    <w:rsid w:val="009340FD"/>
    <w:rsid w:val="00934AC1"/>
    <w:rsid w:val="00934DE3"/>
    <w:rsid w:val="009355DA"/>
    <w:rsid w:val="00936262"/>
    <w:rsid w:val="00936351"/>
    <w:rsid w:val="00936684"/>
    <w:rsid w:val="009411FE"/>
    <w:rsid w:val="009418CD"/>
    <w:rsid w:val="00942464"/>
    <w:rsid w:val="00942ABA"/>
    <w:rsid w:val="00944B7B"/>
    <w:rsid w:val="00944C56"/>
    <w:rsid w:val="0094575A"/>
    <w:rsid w:val="00945D55"/>
    <w:rsid w:val="00945D5F"/>
    <w:rsid w:val="00947B30"/>
    <w:rsid w:val="00947F84"/>
    <w:rsid w:val="009506FA"/>
    <w:rsid w:val="00950A77"/>
    <w:rsid w:val="00950AB1"/>
    <w:rsid w:val="0095242C"/>
    <w:rsid w:val="00953945"/>
    <w:rsid w:val="009559E5"/>
    <w:rsid w:val="009574D4"/>
    <w:rsid w:val="00957769"/>
    <w:rsid w:val="00957FC6"/>
    <w:rsid w:val="00960D2C"/>
    <w:rsid w:val="00961C6A"/>
    <w:rsid w:val="00962EFD"/>
    <w:rsid w:val="009630AC"/>
    <w:rsid w:val="009649DD"/>
    <w:rsid w:val="00964EE7"/>
    <w:rsid w:val="0096538C"/>
    <w:rsid w:val="009658FF"/>
    <w:rsid w:val="00965EE2"/>
    <w:rsid w:val="00966E1A"/>
    <w:rsid w:val="00966FE9"/>
    <w:rsid w:val="00967325"/>
    <w:rsid w:val="0097114E"/>
    <w:rsid w:val="00971230"/>
    <w:rsid w:val="009716C1"/>
    <w:rsid w:val="009729E2"/>
    <w:rsid w:val="00972AFE"/>
    <w:rsid w:val="00973B39"/>
    <w:rsid w:val="00973BD6"/>
    <w:rsid w:val="00973DC6"/>
    <w:rsid w:val="0097423A"/>
    <w:rsid w:val="009746E1"/>
    <w:rsid w:val="00974C4B"/>
    <w:rsid w:val="00975F71"/>
    <w:rsid w:val="009764E7"/>
    <w:rsid w:val="00976551"/>
    <w:rsid w:val="00976572"/>
    <w:rsid w:val="0097700D"/>
    <w:rsid w:val="00977758"/>
    <w:rsid w:val="009800F1"/>
    <w:rsid w:val="009805AB"/>
    <w:rsid w:val="00980A0E"/>
    <w:rsid w:val="00980B66"/>
    <w:rsid w:val="009810D8"/>
    <w:rsid w:val="0098219D"/>
    <w:rsid w:val="00982E7D"/>
    <w:rsid w:val="0098310F"/>
    <w:rsid w:val="00984752"/>
    <w:rsid w:val="009854DC"/>
    <w:rsid w:val="00986BB1"/>
    <w:rsid w:val="009873D2"/>
    <w:rsid w:val="00987F19"/>
    <w:rsid w:val="009906B0"/>
    <w:rsid w:val="00990832"/>
    <w:rsid w:val="00992002"/>
    <w:rsid w:val="00993247"/>
    <w:rsid w:val="009944A8"/>
    <w:rsid w:val="0099461A"/>
    <w:rsid w:val="00994F68"/>
    <w:rsid w:val="00994F8F"/>
    <w:rsid w:val="00995A8D"/>
    <w:rsid w:val="00995E33"/>
    <w:rsid w:val="00996519"/>
    <w:rsid w:val="00996F05"/>
    <w:rsid w:val="0099787D"/>
    <w:rsid w:val="009A146F"/>
    <w:rsid w:val="009A1B0E"/>
    <w:rsid w:val="009A2745"/>
    <w:rsid w:val="009A31A4"/>
    <w:rsid w:val="009A4103"/>
    <w:rsid w:val="009B04F9"/>
    <w:rsid w:val="009B11BE"/>
    <w:rsid w:val="009B11F6"/>
    <w:rsid w:val="009B12E5"/>
    <w:rsid w:val="009B142F"/>
    <w:rsid w:val="009B1519"/>
    <w:rsid w:val="009B2153"/>
    <w:rsid w:val="009B29D4"/>
    <w:rsid w:val="009B40FB"/>
    <w:rsid w:val="009B463B"/>
    <w:rsid w:val="009B56BB"/>
    <w:rsid w:val="009B6778"/>
    <w:rsid w:val="009B7354"/>
    <w:rsid w:val="009C02CE"/>
    <w:rsid w:val="009C0C44"/>
    <w:rsid w:val="009C349E"/>
    <w:rsid w:val="009C3594"/>
    <w:rsid w:val="009C366A"/>
    <w:rsid w:val="009C3BC3"/>
    <w:rsid w:val="009C3F79"/>
    <w:rsid w:val="009C4C1A"/>
    <w:rsid w:val="009C6600"/>
    <w:rsid w:val="009D01CF"/>
    <w:rsid w:val="009D0E26"/>
    <w:rsid w:val="009D2531"/>
    <w:rsid w:val="009D25EA"/>
    <w:rsid w:val="009D303E"/>
    <w:rsid w:val="009D50AA"/>
    <w:rsid w:val="009D5A4C"/>
    <w:rsid w:val="009D65C3"/>
    <w:rsid w:val="009D698D"/>
    <w:rsid w:val="009D6F44"/>
    <w:rsid w:val="009D6FE7"/>
    <w:rsid w:val="009D7214"/>
    <w:rsid w:val="009D7588"/>
    <w:rsid w:val="009D784D"/>
    <w:rsid w:val="009D7A04"/>
    <w:rsid w:val="009E0240"/>
    <w:rsid w:val="009E29BA"/>
    <w:rsid w:val="009E3B80"/>
    <w:rsid w:val="009E3C89"/>
    <w:rsid w:val="009E4596"/>
    <w:rsid w:val="009E6FCE"/>
    <w:rsid w:val="009F0083"/>
    <w:rsid w:val="009F0655"/>
    <w:rsid w:val="009F0EE0"/>
    <w:rsid w:val="009F108F"/>
    <w:rsid w:val="009F1E0D"/>
    <w:rsid w:val="009F1FA5"/>
    <w:rsid w:val="009F2063"/>
    <w:rsid w:val="009F3FA4"/>
    <w:rsid w:val="009F4CDE"/>
    <w:rsid w:val="009F6550"/>
    <w:rsid w:val="009F738C"/>
    <w:rsid w:val="00A000AD"/>
    <w:rsid w:val="00A003B7"/>
    <w:rsid w:val="00A0055B"/>
    <w:rsid w:val="00A00A89"/>
    <w:rsid w:val="00A04444"/>
    <w:rsid w:val="00A04F34"/>
    <w:rsid w:val="00A05D2D"/>
    <w:rsid w:val="00A0601D"/>
    <w:rsid w:val="00A06B5C"/>
    <w:rsid w:val="00A0761E"/>
    <w:rsid w:val="00A07739"/>
    <w:rsid w:val="00A078B9"/>
    <w:rsid w:val="00A079DF"/>
    <w:rsid w:val="00A11BD3"/>
    <w:rsid w:val="00A12F58"/>
    <w:rsid w:val="00A13505"/>
    <w:rsid w:val="00A1436F"/>
    <w:rsid w:val="00A14516"/>
    <w:rsid w:val="00A14959"/>
    <w:rsid w:val="00A1495C"/>
    <w:rsid w:val="00A15261"/>
    <w:rsid w:val="00A16112"/>
    <w:rsid w:val="00A16BB4"/>
    <w:rsid w:val="00A20261"/>
    <w:rsid w:val="00A2120B"/>
    <w:rsid w:val="00A23245"/>
    <w:rsid w:val="00A24E96"/>
    <w:rsid w:val="00A25FB0"/>
    <w:rsid w:val="00A26E0C"/>
    <w:rsid w:val="00A27462"/>
    <w:rsid w:val="00A30C3F"/>
    <w:rsid w:val="00A31058"/>
    <w:rsid w:val="00A315E4"/>
    <w:rsid w:val="00A31DC7"/>
    <w:rsid w:val="00A33282"/>
    <w:rsid w:val="00A34656"/>
    <w:rsid w:val="00A34978"/>
    <w:rsid w:val="00A34EC0"/>
    <w:rsid w:val="00A373CF"/>
    <w:rsid w:val="00A3743E"/>
    <w:rsid w:val="00A3765E"/>
    <w:rsid w:val="00A402BA"/>
    <w:rsid w:val="00A40570"/>
    <w:rsid w:val="00A40EBA"/>
    <w:rsid w:val="00A41D73"/>
    <w:rsid w:val="00A42060"/>
    <w:rsid w:val="00A424AF"/>
    <w:rsid w:val="00A43767"/>
    <w:rsid w:val="00A448F2"/>
    <w:rsid w:val="00A450AB"/>
    <w:rsid w:val="00A4567E"/>
    <w:rsid w:val="00A456CD"/>
    <w:rsid w:val="00A4572C"/>
    <w:rsid w:val="00A51255"/>
    <w:rsid w:val="00A518EC"/>
    <w:rsid w:val="00A52300"/>
    <w:rsid w:val="00A53245"/>
    <w:rsid w:val="00A53348"/>
    <w:rsid w:val="00A5411F"/>
    <w:rsid w:val="00A54ABA"/>
    <w:rsid w:val="00A54EB8"/>
    <w:rsid w:val="00A555FE"/>
    <w:rsid w:val="00A5733F"/>
    <w:rsid w:val="00A606CB"/>
    <w:rsid w:val="00A60C6F"/>
    <w:rsid w:val="00A6129A"/>
    <w:rsid w:val="00A6147E"/>
    <w:rsid w:val="00A616B5"/>
    <w:rsid w:val="00A6243B"/>
    <w:rsid w:val="00A62791"/>
    <w:rsid w:val="00A63A0E"/>
    <w:rsid w:val="00A63DA0"/>
    <w:rsid w:val="00A643E5"/>
    <w:rsid w:val="00A6581D"/>
    <w:rsid w:val="00A65E1E"/>
    <w:rsid w:val="00A6645A"/>
    <w:rsid w:val="00A7064F"/>
    <w:rsid w:val="00A707FB"/>
    <w:rsid w:val="00A70B32"/>
    <w:rsid w:val="00A7104B"/>
    <w:rsid w:val="00A7113C"/>
    <w:rsid w:val="00A72EC9"/>
    <w:rsid w:val="00A732BE"/>
    <w:rsid w:val="00A739F0"/>
    <w:rsid w:val="00A73A7F"/>
    <w:rsid w:val="00A742C6"/>
    <w:rsid w:val="00A74879"/>
    <w:rsid w:val="00A74C39"/>
    <w:rsid w:val="00A75987"/>
    <w:rsid w:val="00A75FE7"/>
    <w:rsid w:val="00A76077"/>
    <w:rsid w:val="00A76332"/>
    <w:rsid w:val="00A768D3"/>
    <w:rsid w:val="00A80015"/>
    <w:rsid w:val="00A80179"/>
    <w:rsid w:val="00A81131"/>
    <w:rsid w:val="00A81A1A"/>
    <w:rsid w:val="00A8244F"/>
    <w:rsid w:val="00A84577"/>
    <w:rsid w:val="00A8474B"/>
    <w:rsid w:val="00A84A10"/>
    <w:rsid w:val="00A84A3C"/>
    <w:rsid w:val="00A85814"/>
    <w:rsid w:val="00A858AB"/>
    <w:rsid w:val="00A866A9"/>
    <w:rsid w:val="00A86726"/>
    <w:rsid w:val="00A87969"/>
    <w:rsid w:val="00A90750"/>
    <w:rsid w:val="00A925A4"/>
    <w:rsid w:val="00A92B7C"/>
    <w:rsid w:val="00A961F6"/>
    <w:rsid w:val="00A9657A"/>
    <w:rsid w:val="00A969C8"/>
    <w:rsid w:val="00A96FB2"/>
    <w:rsid w:val="00A96FCC"/>
    <w:rsid w:val="00A976BB"/>
    <w:rsid w:val="00AA05C8"/>
    <w:rsid w:val="00AA08C5"/>
    <w:rsid w:val="00AA0C2D"/>
    <w:rsid w:val="00AA113B"/>
    <w:rsid w:val="00AA193C"/>
    <w:rsid w:val="00AA22C6"/>
    <w:rsid w:val="00AA2952"/>
    <w:rsid w:val="00AA35C3"/>
    <w:rsid w:val="00AA3C51"/>
    <w:rsid w:val="00AA445F"/>
    <w:rsid w:val="00AA5C25"/>
    <w:rsid w:val="00AA7B0F"/>
    <w:rsid w:val="00AA7C64"/>
    <w:rsid w:val="00AB0733"/>
    <w:rsid w:val="00AB0F87"/>
    <w:rsid w:val="00AB21BC"/>
    <w:rsid w:val="00AB42EF"/>
    <w:rsid w:val="00AB4553"/>
    <w:rsid w:val="00AB5423"/>
    <w:rsid w:val="00AB5D67"/>
    <w:rsid w:val="00AC068C"/>
    <w:rsid w:val="00AC0F4D"/>
    <w:rsid w:val="00AC13D1"/>
    <w:rsid w:val="00AC292F"/>
    <w:rsid w:val="00AC2BDD"/>
    <w:rsid w:val="00AC2DA0"/>
    <w:rsid w:val="00AC365F"/>
    <w:rsid w:val="00AC5756"/>
    <w:rsid w:val="00AC5DF9"/>
    <w:rsid w:val="00AC5FA6"/>
    <w:rsid w:val="00AC692B"/>
    <w:rsid w:val="00AC6D3A"/>
    <w:rsid w:val="00AC7338"/>
    <w:rsid w:val="00AC7409"/>
    <w:rsid w:val="00AC7734"/>
    <w:rsid w:val="00AC78C2"/>
    <w:rsid w:val="00AD1A42"/>
    <w:rsid w:val="00AD247F"/>
    <w:rsid w:val="00AD3DF5"/>
    <w:rsid w:val="00AD4391"/>
    <w:rsid w:val="00AD4580"/>
    <w:rsid w:val="00AD4F4B"/>
    <w:rsid w:val="00AD5A84"/>
    <w:rsid w:val="00AD6DD4"/>
    <w:rsid w:val="00AE02C9"/>
    <w:rsid w:val="00AE0750"/>
    <w:rsid w:val="00AE0A40"/>
    <w:rsid w:val="00AE0BE0"/>
    <w:rsid w:val="00AE0C71"/>
    <w:rsid w:val="00AE0E61"/>
    <w:rsid w:val="00AE2535"/>
    <w:rsid w:val="00AE2CD6"/>
    <w:rsid w:val="00AE2D21"/>
    <w:rsid w:val="00AE4525"/>
    <w:rsid w:val="00AE47BD"/>
    <w:rsid w:val="00AE482E"/>
    <w:rsid w:val="00AE5CB4"/>
    <w:rsid w:val="00AE5DD0"/>
    <w:rsid w:val="00AE6008"/>
    <w:rsid w:val="00AE648E"/>
    <w:rsid w:val="00AE6579"/>
    <w:rsid w:val="00AE7B51"/>
    <w:rsid w:val="00AF0444"/>
    <w:rsid w:val="00AF10BD"/>
    <w:rsid w:val="00AF1173"/>
    <w:rsid w:val="00AF11D7"/>
    <w:rsid w:val="00AF1CEA"/>
    <w:rsid w:val="00AF1FD1"/>
    <w:rsid w:val="00AF352D"/>
    <w:rsid w:val="00AF35BD"/>
    <w:rsid w:val="00AF3834"/>
    <w:rsid w:val="00AF45F3"/>
    <w:rsid w:val="00AF4B9B"/>
    <w:rsid w:val="00AF5242"/>
    <w:rsid w:val="00AF61A3"/>
    <w:rsid w:val="00AF79F8"/>
    <w:rsid w:val="00AF7CC7"/>
    <w:rsid w:val="00B033AA"/>
    <w:rsid w:val="00B03FE6"/>
    <w:rsid w:val="00B043B2"/>
    <w:rsid w:val="00B05654"/>
    <w:rsid w:val="00B0581A"/>
    <w:rsid w:val="00B058A0"/>
    <w:rsid w:val="00B060DC"/>
    <w:rsid w:val="00B06379"/>
    <w:rsid w:val="00B07546"/>
    <w:rsid w:val="00B07D48"/>
    <w:rsid w:val="00B10BEC"/>
    <w:rsid w:val="00B10FF6"/>
    <w:rsid w:val="00B1127F"/>
    <w:rsid w:val="00B13658"/>
    <w:rsid w:val="00B1433E"/>
    <w:rsid w:val="00B143BB"/>
    <w:rsid w:val="00B146FF"/>
    <w:rsid w:val="00B1491B"/>
    <w:rsid w:val="00B14972"/>
    <w:rsid w:val="00B14A50"/>
    <w:rsid w:val="00B14C63"/>
    <w:rsid w:val="00B15260"/>
    <w:rsid w:val="00B15621"/>
    <w:rsid w:val="00B173A7"/>
    <w:rsid w:val="00B214EF"/>
    <w:rsid w:val="00B21515"/>
    <w:rsid w:val="00B21E8F"/>
    <w:rsid w:val="00B21FFC"/>
    <w:rsid w:val="00B2249E"/>
    <w:rsid w:val="00B22764"/>
    <w:rsid w:val="00B22A1D"/>
    <w:rsid w:val="00B22D59"/>
    <w:rsid w:val="00B22ED6"/>
    <w:rsid w:val="00B23728"/>
    <w:rsid w:val="00B239DA"/>
    <w:rsid w:val="00B23FAA"/>
    <w:rsid w:val="00B2409C"/>
    <w:rsid w:val="00B246EC"/>
    <w:rsid w:val="00B2553D"/>
    <w:rsid w:val="00B25C0B"/>
    <w:rsid w:val="00B25D88"/>
    <w:rsid w:val="00B265B6"/>
    <w:rsid w:val="00B26A7E"/>
    <w:rsid w:val="00B274B4"/>
    <w:rsid w:val="00B31E89"/>
    <w:rsid w:val="00B3207C"/>
    <w:rsid w:val="00B32CBB"/>
    <w:rsid w:val="00B33673"/>
    <w:rsid w:val="00B33E17"/>
    <w:rsid w:val="00B342D3"/>
    <w:rsid w:val="00B34D48"/>
    <w:rsid w:val="00B35770"/>
    <w:rsid w:val="00B359C2"/>
    <w:rsid w:val="00B36A49"/>
    <w:rsid w:val="00B36A62"/>
    <w:rsid w:val="00B36B61"/>
    <w:rsid w:val="00B37196"/>
    <w:rsid w:val="00B37786"/>
    <w:rsid w:val="00B37787"/>
    <w:rsid w:val="00B402E4"/>
    <w:rsid w:val="00B41CE4"/>
    <w:rsid w:val="00B42154"/>
    <w:rsid w:val="00B42C99"/>
    <w:rsid w:val="00B42DDF"/>
    <w:rsid w:val="00B43239"/>
    <w:rsid w:val="00B4347D"/>
    <w:rsid w:val="00B445CF"/>
    <w:rsid w:val="00B46070"/>
    <w:rsid w:val="00B465C1"/>
    <w:rsid w:val="00B46920"/>
    <w:rsid w:val="00B46DF9"/>
    <w:rsid w:val="00B47882"/>
    <w:rsid w:val="00B50477"/>
    <w:rsid w:val="00B5203C"/>
    <w:rsid w:val="00B528FA"/>
    <w:rsid w:val="00B52F39"/>
    <w:rsid w:val="00B5464D"/>
    <w:rsid w:val="00B55707"/>
    <w:rsid w:val="00B55DDB"/>
    <w:rsid w:val="00B562EA"/>
    <w:rsid w:val="00B5693D"/>
    <w:rsid w:val="00B56B03"/>
    <w:rsid w:val="00B60C33"/>
    <w:rsid w:val="00B61976"/>
    <w:rsid w:val="00B61C76"/>
    <w:rsid w:val="00B62A1D"/>
    <w:rsid w:val="00B6304C"/>
    <w:rsid w:val="00B633E4"/>
    <w:rsid w:val="00B64BEA"/>
    <w:rsid w:val="00B656E8"/>
    <w:rsid w:val="00B6586E"/>
    <w:rsid w:val="00B65A39"/>
    <w:rsid w:val="00B66364"/>
    <w:rsid w:val="00B677AD"/>
    <w:rsid w:val="00B67F0A"/>
    <w:rsid w:val="00B7060A"/>
    <w:rsid w:val="00B7161E"/>
    <w:rsid w:val="00B71C2B"/>
    <w:rsid w:val="00B71D4F"/>
    <w:rsid w:val="00B721DB"/>
    <w:rsid w:val="00B722B2"/>
    <w:rsid w:val="00B73199"/>
    <w:rsid w:val="00B73B19"/>
    <w:rsid w:val="00B7439F"/>
    <w:rsid w:val="00B74713"/>
    <w:rsid w:val="00B7473E"/>
    <w:rsid w:val="00B75D2F"/>
    <w:rsid w:val="00B75F94"/>
    <w:rsid w:val="00B765FA"/>
    <w:rsid w:val="00B7707C"/>
    <w:rsid w:val="00B80D9A"/>
    <w:rsid w:val="00B818C1"/>
    <w:rsid w:val="00B81AAF"/>
    <w:rsid w:val="00B84B49"/>
    <w:rsid w:val="00B857DD"/>
    <w:rsid w:val="00B858E0"/>
    <w:rsid w:val="00B863BB"/>
    <w:rsid w:val="00B8673F"/>
    <w:rsid w:val="00B867FF"/>
    <w:rsid w:val="00B86FC5"/>
    <w:rsid w:val="00B8719F"/>
    <w:rsid w:val="00B87978"/>
    <w:rsid w:val="00B9180C"/>
    <w:rsid w:val="00B919EB"/>
    <w:rsid w:val="00B92D51"/>
    <w:rsid w:val="00B92F81"/>
    <w:rsid w:val="00B93070"/>
    <w:rsid w:val="00B93B8F"/>
    <w:rsid w:val="00B949D8"/>
    <w:rsid w:val="00B95316"/>
    <w:rsid w:val="00B959E0"/>
    <w:rsid w:val="00B960C9"/>
    <w:rsid w:val="00B9647E"/>
    <w:rsid w:val="00B9654A"/>
    <w:rsid w:val="00B9662D"/>
    <w:rsid w:val="00B975BC"/>
    <w:rsid w:val="00B976F4"/>
    <w:rsid w:val="00B97AA4"/>
    <w:rsid w:val="00BA050C"/>
    <w:rsid w:val="00BA066B"/>
    <w:rsid w:val="00BA11CD"/>
    <w:rsid w:val="00BA128C"/>
    <w:rsid w:val="00BA2207"/>
    <w:rsid w:val="00BA4288"/>
    <w:rsid w:val="00BA50D8"/>
    <w:rsid w:val="00BA5413"/>
    <w:rsid w:val="00BA55F7"/>
    <w:rsid w:val="00BA5AC0"/>
    <w:rsid w:val="00BA6157"/>
    <w:rsid w:val="00BA6C20"/>
    <w:rsid w:val="00BA746E"/>
    <w:rsid w:val="00BA748E"/>
    <w:rsid w:val="00BB0920"/>
    <w:rsid w:val="00BB0BA1"/>
    <w:rsid w:val="00BB3356"/>
    <w:rsid w:val="00BB3735"/>
    <w:rsid w:val="00BB4587"/>
    <w:rsid w:val="00BB4BAC"/>
    <w:rsid w:val="00BB4FA6"/>
    <w:rsid w:val="00BB62C6"/>
    <w:rsid w:val="00BB63BD"/>
    <w:rsid w:val="00BB7397"/>
    <w:rsid w:val="00BB7BCC"/>
    <w:rsid w:val="00BB7DF7"/>
    <w:rsid w:val="00BC0077"/>
    <w:rsid w:val="00BC036B"/>
    <w:rsid w:val="00BC05B0"/>
    <w:rsid w:val="00BC1757"/>
    <w:rsid w:val="00BC2517"/>
    <w:rsid w:val="00BC34A8"/>
    <w:rsid w:val="00BC37C4"/>
    <w:rsid w:val="00BC3F21"/>
    <w:rsid w:val="00BC4BE2"/>
    <w:rsid w:val="00BC6825"/>
    <w:rsid w:val="00BC6E96"/>
    <w:rsid w:val="00BC73D9"/>
    <w:rsid w:val="00BC775A"/>
    <w:rsid w:val="00BD0158"/>
    <w:rsid w:val="00BD0543"/>
    <w:rsid w:val="00BD21C1"/>
    <w:rsid w:val="00BD252B"/>
    <w:rsid w:val="00BD2D50"/>
    <w:rsid w:val="00BD3908"/>
    <w:rsid w:val="00BD3FD6"/>
    <w:rsid w:val="00BD5CBC"/>
    <w:rsid w:val="00BD60BE"/>
    <w:rsid w:val="00BD7733"/>
    <w:rsid w:val="00BD7A1B"/>
    <w:rsid w:val="00BE014F"/>
    <w:rsid w:val="00BE0F21"/>
    <w:rsid w:val="00BE12F5"/>
    <w:rsid w:val="00BE1DB8"/>
    <w:rsid w:val="00BE21BE"/>
    <w:rsid w:val="00BE34A0"/>
    <w:rsid w:val="00BE3EC8"/>
    <w:rsid w:val="00BE4553"/>
    <w:rsid w:val="00BE4744"/>
    <w:rsid w:val="00BE49FA"/>
    <w:rsid w:val="00BE4D89"/>
    <w:rsid w:val="00BE4EDC"/>
    <w:rsid w:val="00BE5F89"/>
    <w:rsid w:val="00BE6428"/>
    <w:rsid w:val="00BE6AA8"/>
    <w:rsid w:val="00BE6BAC"/>
    <w:rsid w:val="00BE7557"/>
    <w:rsid w:val="00BF08B3"/>
    <w:rsid w:val="00BF0AF5"/>
    <w:rsid w:val="00BF11CE"/>
    <w:rsid w:val="00BF2943"/>
    <w:rsid w:val="00BF4149"/>
    <w:rsid w:val="00BF4522"/>
    <w:rsid w:val="00BF4BE2"/>
    <w:rsid w:val="00BF530C"/>
    <w:rsid w:val="00BF5E35"/>
    <w:rsid w:val="00BF6403"/>
    <w:rsid w:val="00BF7443"/>
    <w:rsid w:val="00BF75ED"/>
    <w:rsid w:val="00BF7BC4"/>
    <w:rsid w:val="00C00027"/>
    <w:rsid w:val="00C02E05"/>
    <w:rsid w:val="00C03969"/>
    <w:rsid w:val="00C03BFC"/>
    <w:rsid w:val="00C041C7"/>
    <w:rsid w:val="00C04229"/>
    <w:rsid w:val="00C06050"/>
    <w:rsid w:val="00C06386"/>
    <w:rsid w:val="00C06817"/>
    <w:rsid w:val="00C06FAC"/>
    <w:rsid w:val="00C102D6"/>
    <w:rsid w:val="00C107A0"/>
    <w:rsid w:val="00C11952"/>
    <w:rsid w:val="00C1269E"/>
    <w:rsid w:val="00C12727"/>
    <w:rsid w:val="00C127F0"/>
    <w:rsid w:val="00C146B4"/>
    <w:rsid w:val="00C1634B"/>
    <w:rsid w:val="00C17969"/>
    <w:rsid w:val="00C2092D"/>
    <w:rsid w:val="00C20A98"/>
    <w:rsid w:val="00C211F6"/>
    <w:rsid w:val="00C240F4"/>
    <w:rsid w:val="00C25F02"/>
    <w:rsid w:val="00C27058"/>
    <w:rsid w:val="00C30189"/>
    <w:rsid w:val="00C31114"/>
    <w:rsid w:val="00C327F2"/>
    <w:rsid w:val="00C32DD1"/>
    <w:rsid w:val="00C33267"/>
    <w:rsid w:val="00C338A8"/>
    <w:rsid w:val="00C345D7"/>
    <w:rsid w:val="00C3493A"/>
    <w:rsid w:val="00C35775"/>
    <w:rsid w:val="00C377BF"/>
    <w:rsid w:val="00C411F0"/>
    <w:rsid w:val="00C41BEA"/>
    <w:rsid w:val="00C43B0A"/>
    <w:rsid w:val="00C447F2"/>
    <w:rsid w:val="00C44A6B"/>
    <w:rsid w:val="00C46BE9"/>
    <w:rsid w:val="00C479C2"/>
    <w:rsid w:val="00C47D0F"/>
    <w:rsid w:val="00C504C3"/>
    <w:rsid w:val="00C50908"/>
    <w:rsid w:val="00C51173"/>
    <w:rsid w:val="00C51740"/>
    <w:rsid w:val="00C52296"/>
    <w:rsid w:val="00C531CE"/>
    <w:rsid w:val="00C538DD"/>
    <w:rsid w:val="00C56BDA"/>
    <w:rsid w:val="00C56EFB"/>
    <w:rsid w:val="00C57A62"/>
    <w:rsid w:val="00C623A4"/>
    <w:rsid w:val="00C62C3C"/>
    <w:rsid w:val="00C63203"/>
    <w:rsid w:val="00C63A91"/>
    <w:rsid w:val="00C64281"/>
    <w:rsid w:val="00C644B4"/>
    <w:rsid w:val="00C65265"/>
    <w:rsid w:val="00C65ED8"/>
    <w:rsid w:val="00C7053F"/>
    <w:rsid w:val="00C7063B"/>
    <w:rsid w:val="00C7321B"/>
    <w:rsid w:val="00C73387"/>
    <w:rsid w:val="00C73A46"/>
    <w:rsid w:val="00C7457E"/>
    <w:rsid w:val="00C76754"/>
    <w:rsid w:val="00C770DF"/>
    <w:rsid w:val="00C80DE1"/>
    <w:rsid w:val="00C81252"/>
    <w:rsid w:val="00C812FB"/>
    <w:rsid w:val="00C82E46"/>
    <w:rsid w:val="00C83CD9"/>
    <w:rsid w:val="00C846A3"/>
    <w:rsid w:val="00C848B1"/>
    <w:rsid w:val="00C849D8"/>
    <w:rsid w:val="00C851DF"/>
    <w:rsid w:val="00C85505"/>
    <w:rsid w:val="00C8635C"/>
    <w:rsid w:val="00C868A1"/>
    <w:rsid w:val="00C86C77"/>
    <w:rsid w:val="00C86DF8"/>
    <w:rsid w:val="00C87750"/>
    <w:rsid w:val="00C94543"/>
    <w:rsid w:val="00C949D9"/>
    <w:rsid w:val="00C953AF"/>
    <w:rsid w:val="00C95796"/>
    <w:rsid w:val="00C966EC"/>
    <w:rsid w:val="00C97BBC"/>
    <w:rsid w:val="00C97DEA"/>
    <w:rsid w:val="00CA0D85"/>
    <w:rsid w:val="00CA2D23"/>
    <w:rsid w:val="00CA2FB8"/>
    <w:rsid w:val="00CA38F2"/>
    <w:rsid w:val="00CA42EB"/>
    <w:rsid w:val="00CA4387"/>
    <w:rsid w:val="00CA4909"/>
    <w:rsid w:val="00CA6459"/>
    <w:rsid w:val="00CA68BF"/>
    <w:rsid w:val="00CA6DF7"/>
    <w:rsid w:val="00CA7935"/>
    <w:rsid w:val="00CB0859"/>
    <w:rsid w:val="00CB0959"/>
    <w:rsid w:val="00CB15DD"/>
    <w:rsid w:val="00CB238F"/>
    <w:rsid w:val="00CB2EF0"/>
    <w:rsid w:val="00CB3A16"/>
    <w:rsid w:val="00CB4000"/>
    <w:rsid w:val="00CB46DD"/>
    <w:rsid w:val="00CB4D9D"/>
    <w:rsid w:val="00CB5349"/>
    <w:rsid w:val="00CB53D0"/>
    <w:rsid w:val="00CB5514"/>
    <w:rsid w:val="00CB5690"/>
    <w:rsid w:val="00CB5F64"/>
    <w:rsid w:val="00CB68EC"/>
    <w:rsid w:val="00CB6BA5"/>
    <w:rsid w:val="00CB6E9D"/>
    <w:rsid w:val="00CB6F02"/>
    <w:rsid w:val="00CB7831"/>
    <w:rsid w:val="00CC055F"/>
    <w:rsid w:val="00CC0C8C"/>
    <w:rsid w:val="00CC0CDA"/>
    <w:rsid w:val="00CC1DE2"/>
    <w:rsid w:val="00CC2189"/>
    <w:rsid w:val="00CC31BF"/>
    <w:rsid w:val="00CC3247"/>
    <w:rsid w:val="00CC3630"/>
    <w:rsid w:val="00CC38C5"/>
    <w:rsid w:val="00CC3A0D"/>
    <w:rsid w:val="00CC3D76"/>
    <w:rsid w:val="00CC404C"/>
    <w:rsid w:val="00CC4660"/>
    <w:rsid w:val="00CC6161"/>
    <w:rsid w:val="00CC73BA"/>
    <w:rsid w:val="00CC7CF0"/>
    <w:rsid w:val="00CD0472"/>
    <w:rsid w:val="00CD10A7"/>
    <w:rsid w:val="00CD2280"/>
    <w:rsid w:val="00CD2717"/>
    <w:rsid w:val="00CD2E35"/>
    <w:rsid w:val="00CD33B1"/>
    <w:rsid w:val="00CD3550"/>
    <w:rsid w:val="00CD370D"/>
    <w:rsid w:val="00CD435B"/>
    <w:rsid w:val="00CD4F86"/>
    <w:rsid w:val="00CD4F89"/>
    <w:rsid w:val="00CD51B1"/>
    <w:rsid w:val="00CD5768"/>
    <w:rsid w:val="00CD58EE"/>
    <w:rsid w:val="00CD6017"/>
    <w:rsid w:val="00CD68FC"/>
    <w:rsid w:val="00CE087E"/>
    <w:rsid w:val="00CE0E6B"/>
    <w:rsid w:val="00CE18CC"/>
    <w:rsid w:val="00CE190A"/>
    <w:rsid w:val="00CE2682"/>
    <w:rsid w:val="00CE28C1"/>
    <w:rsid w:val="00CE35B0"/>
    <w:rsid w:val="00CE3D6F"/>
    <w:rsid w:val="00CE3EF0"/>
    <w:rsid w:val="00CE55C5"/>
    <w:rsid w:val="00CE6259"/>
    <w:rsid w:val="00CE6AA3"/>
    <w:rsid w:val="00CE75D1"/>
    <w:rsid w:val="00CE7973"/>
    <w:rsid w:val="00CF0740"/>
    <w:rsid w:val="00CF1CAD"/>
    <w:rsid w:val="00CF2451"/>
    <w:rsid w:val="00CF2AEE"/>
    <w:rsid w:val="00CF34D8"/>
    <w:rsid w:val="00CF371B"/>
    <w:rsid w:val="00CF39A8"/>
    <w:rsid w:val="00CF4C55"/>
    <w:rsid w:val="00CF4F0E"/>
    <w:rsid w:val="00CF5E64"/>
    <w:rsid w:val="00D00618"/>
    <w:rsid w:val="00D00855"/>
    <w:rsid w:val="00D00DA1"/>
    <w:rsid w:val="00D014B3"/>
    <w:rsid w:val="00D01D93"/>
    <w:rsid w:val="00D023F0"/>
    <w:rsid w:val="00D0249B"/>
    <w:rsid w:val="00D037FE"/>
    <w:rsid w:val="00D03B8A"/>
    <w:rsid w:val="00D0417F"/>
    <w:rsid w:val="00D051D6"/>
    <w:rsid w:val="00D06BD1"/>
    <w:rsid w:val="00D076FA"/>
    <w:rsid w:val="00D07DF9"/>
    <w:rsid w:val="00D10E12"/>
    <w:rsid w:val="00D12367"/>
    <w:rsid w:val="00D12CD0"/>
    <w:rsid w:val="00D13524"/>
    <w:rsid w:val="00D13EB5"/>
    <w:rsid w:val="00D1411D"/>
    <w:rsid w:val="00D14E6F"/>
    <w:rsid w:val="00D15AAD"/>
    <w:rsid w:val="00D15BED"/>
    <w:rsid w:val="00D15D71"/>
    <w:rsid w:val="00D15F48"/>
    <w:rsid w:val="00D16474"/>
    <w:rsid w:val="00D168EE"/>
    <w:rsid w:val="00D170C3"/>
    <w:rsid w:val="00D17A97"/>
    <w:rsid w:val="00D2044E"/>
    <w:rsid w:val="00D222F4"/>
    <w:rsid w:val="00D22FCC"/>
    <w:rsid w:val="00D23873"/>
    <w:rsid w:val="00D23909"/>
    <w:rsid w:val="00D23E3E"/>
    <w:rsid w:val="00D240F5"/>
    <w:rsid w:val="00D249D5"/>
    <w:rsid w:val="00D25024"/>
    <w:rsid w:val="00D25C77"/>
    <w:rsid w:val="00D260A9"/>
    <w:rsid w:val="00D26869"/>
    <w:rsid w:val="00D26BE1"/>
    <w:rsid w:val="00D273B9"/>
    <w:rsid w:val="00D3129F"/>
    <w:rsid w:val="00D31367"/>
    <w:rsid w:val="00D31EFC"/>
    <w:rsid w:val="00D32A9E"/>
    <w:rsid w:val="00D33626"/>
    <w:rsid w:val="00D33641"/>
    <w:rsid w:val="00D33A95"/>
    <w:rsid w:val="00D34A9E"/>
    <w:rsid w:val="00D350C1"/>
    <w:rsid w:val="00D3673D"/>
    <w:rsid w:val="00D378C4"/>
    <w:rsid w:val="00D42283"/>
    <w:rsid w:val="00D427F0"/>
    <w:rsid w:val="00D42A44"/>
    <w:rsid w:val="00D42BE7"/>
    <w:rsid w:val="00D43463"/>
    <w:rsid w:val="00D4375E"/>
    <w:rsid w:val="00D4414B"/>
    <w:rsid w:val="00D45504"/>
    <w:rsid w:val="00D46631"/>
    <w:rsid w:val="00D47030"/>
    <w:rsid w:val="00D47104"/>
    <w:rsid w:val="00D47EBA"/>
    <w:rsid w:val="00D50602"/>
    <w:rsid w:val="00D5209B"/>
    <w:rsid w:val="00D520E7"/>
    <w:rsid w:val="00D52D12"/>
    <w:rsid w:val="00D53CF5"/>
    <w:rsid w:val="00D54364"/>
    <w:rsid w:val="00D54413"/>
    <w:rsid w:val="00D546B7"/>
    <w:rsid w:val="00D54CD5"/>
    <w:rsid w:val="00D560C0"/>
    <w:rsid w:val="00D56AFB"/>
    <w:rsid w:val="00D5795B"/>
    <w:rsid w:val="00D6094E"/>
    <w:rsid w:val="00D62878"/>
    <w:rsid w:val="00D65ABC"/>
    <w:rsid w:val="00D65C00"/>
    <w:rsid w:val="00D66689"/>
    <w:rsid w:val="00D670F2"/>
    <w:rsid w:val="00D6782D"/>
    <w:rsid w:val="00D67A6C"/>
    <w:rsid w:val="00D70012"/>
    <w:rsid w:val="00D71951"/>
    <w:rsid w:val="00D727BC"/>
    <w:rsid w:val="00D72D24"/>
    <w:rsid w:val="00D73EF8"/>
    <w:rsid w:val="00D74819"/>
    <w:rsid w:val="00D74A5E"/>
    <w:rsid w:val="00D74B4E"/>
    <w:rsid w:val="00D74CA9"/>
    <w:rsid w:val="00D75FAC"/>
    <w:rsid w:val="00D76276"/>
    <w:rsid w:val="00D764D6"/>
    <w:rsid w:val="00D801ED"/>
    <w:rsid w:val="00D8038E"/>
    <w:rsid w:val="00D80704"/>
    <w:rsid w:val="00D81DE2"/>
    <w:rsid w:val="00D823F3"/>
    <w:rsid w:val="00D82D79"/>
    <w:rsid w:val="00D8466C"/>
    <w:rsid w:val="00D84827"/>
    <w:rsid w:val="00D84CCD"/>
    <w:rsid w:val="00D8618B"/>
    <w:rsid w:val="00D86926"/>
    <w:rsid w:val="00D87C00"/>
    <w:rsid w:val="00D9136A"/>
    <w:rsid w:val="00D91840"/>
    <w:rsid w:val="00D929FA"/>
    <w:rsid w:val="00D92CEA"/>
    <w:rsid w:val="00D93085"/>
    <w:rsid w:val="00D93742"/>
    <w:rsid w:val="00D93829"/>
    <w:rsid w:val="00D94224"/>
    <w:rsid w:val="00D942B6"/>
    <w:rsid w:val="00D9436C"/>
    <w:rsid w:val="00D95B7F"/>
    <w:rsid w:val="00D96E38"/>
    <w:rsid w:val="00DA06BE"/>
    <w:rsid w:val="00DA1197"/>
    <w:rsid w:val="00DA1F09"/>
    <w:rsid w:val="00DA21AE"/>
    <w:rsid w:val="00DA2DE3"/>
    <w:rsid w:val="00DA2FD0"/>
    <w:rsid w:val="00DA3070"/>
    <w:rsid w:val="00DA4A23"/>
    <w:rsid w:val="00DA5230"/>
    <w:rsid w:val="00DA76F9"/>
    <w:rsid w:val="00DB0461"/>
    <w:rsid w:val="00DB0548"/>
    <w:rsid w:val="00DB0EBF"/>
    <w:rsid w:val="00DB232D"/>
    <w:rsid w:val="00DB24D0"/>
    <w:rsid w:val="00DB303B"/>
    <w:rsid w:val="00DB3892"/>
    <w:rsid w:val="00DB40CE"/>
    <w:rsid w:val="00DB48B3"/>
    <w:rsid w:val="00DB5506"/>
    <w:rsid w:val="00DB58D4"/>
    <w:rsid w:val="00DB596C"/>
    <w:rsid w:val="00DB5B61"/>
    <w:rsid w:val="00DB5C8E"/>
    <w:rsid w:val="00DB64B0"/>
    <w:rsid w:val="00DB6BD5"/>
    <w:rsid w:val="00DC0C89"/>
    <w:rsid w:val="00DC1B81"/>
    <w:rsid w:val="00DC4577"/>
    <w:rsid w:val="00DC4982"/>
    <w:rsid w:val="00DC4A8F"/>
    <w:rsid w:val="00DC5175"/>
    <w:rsid w:val="00DC6437"/>
    <w:rsid w:val="00DC6A77"/>
    <w:rsid w:val="00DC6F48"/>
    <w:rsid w:val="00DC7318"/>
    <w:rsid w:val="00DC76A8"/>
    <w:rsid w:val="00DD094C"/>
    <w:rsid w:val="00DD119D"/>
    <w:rsid w:val="00DD1AB7"/>
    <w:rsid w:val="00DD1EB7"/>
    <w:rsid w:val="00DD202B"/>
    <w:rsid w:val="00DD2B80"/>
    <w:rsid w:val="00DD314D"/>
    <w:rsid w:val="00DD39E9"/>
    <w:rsid w:val="00DD4B06"/>
    <w:rsid w:val="00DD4D55"/>
    <w:rsid w:val="00DD52AB"/>
    <w:rsid w:val="00DD6191"/>
    <w:rsid w:val="00DD6578"/>
    <w:rsid w:val="00DD74F4"/>
    <w:rsid w:val="00DE0ED2"/>
    <w:rsid w:val="00DE1026"/>
    <w:rsid w:val="00DE13BD"/>
    <w:rsid w:val="00DE1969"/>
    <w:rsid w:val="00DE23D8"/>
    <w:rsid w:val="00DE2740"/>
    <w:rsid w:val="00DE27BA"/>
    <w:rsid w:val="00DE29D3"/>
    <w:rsid w:val="00DE2FEB"/>
    <w:rsid w:val="00DE347B"/>
    <w:rsid w:val="00DE36B7"/>
    <w:rsid w:val="00DE3D0B"/>
    <w:rsid w:val="00DE3EDE"/>
    <w:rsid w:val="00DE49B6"/>
    <w:rsid w:val="00DE52F4"/>
    <w:rsid w:val="00DE5EC4"/>
    <w:rsid w:val="00DE616E"/>
    <w:rsid w:val="00DE6B00"/>
    <w:rsid w:val="00DF0851"/>
    <w:rsid w:val="00DF0D44"/>
    <w:rsid w:val="00DF1218"/>
    <w:rsid w:val="00DF14C0"/>
    <w:rsid w:val="00DF17E1"/>
    <w:rsid w:val="00DF1961"/>
    <w:rsid w:val="00DF20FA"/>
    <w:rsid w:val="00DF225E"/>
    <w:rsid w:val="00DF3514"/>
    <w:rsid w:val="00DF4AB0"/>
    <w:rsid w:val="00DF61ED"/>
    <w:rsid w:val="00DF6593"/>
    <w:rsid w:val="00DF6F42"/>
    <w:rsid w:val="00DF7E78"/>
    <w:rsid w:val="00E0010B"/>
    <w:rsid w:val="00E02AD2"/>
    <w:rsid w:val="00E04417"/>
    <w:rsid w:val="00E04636"/>
    <w:rsid w:val="00E04DE4"/>
    <w:rsid w:val="00E04F8F"/>
    <w:rsid w:val="00E052D5"/>
    <w:rsid w:val="00E055BE"/>
    <w:rsid w:val="00E075EC"/>
    <w:rsid w:val="00E076BE"/>
    <w:rsid w:val="00E100C9"/>
    <w:rsid w:val="00E1027A"/>
    <w:rsid w:val="00E1119A"/>
    <w:rsid w:val="00E11656"/>
    <w:rsid w:val="00E11C11"/>
    <w:rsid w:val="00E128E7"/>
    <w:rsid w:val="00E12A2B"/>
    <w:rsid w:val="00E1373E"/>
    <w:rsid w:val="00E149EB"/>
    <w:rsid w:val="00E15285"/>
    <w:rsid w:val="00E1562A"/>
    <w:rsid w:val="00E15C13"/>
    <w:rsid w:val="00E15D46"/>
    <w:rsid w:val="00E16340"/>
    <w:rsid w:val="00E16F1B"/>
    <w:rsid w:val="00E17A23"/>
    <w:rsid w:val="00E2060B"/>
    <w:rsid w:val="00E20EFF"/>
    <w:rsid w:val="00E22E6B"/>
    <w:rsid w:val="00E23274"/>
    <w:rsid w:val="00E2350E"/>
    <w:rsid w:val="00E24B51"/>
    <w:rsid w:val="00E25338"/>
    <w:rsid w:val="00E25B4B"/>
    <w:rsid w:val="00E25CA3"/>
    <w:rsid w:val="00E2663E"/>
    <w:rsid w:val="00E26D0E"/>
    <w:rsid w:val="00E26F13"/>
    <w:rsid w:val="00E271A3"/>
    <w:rsid w:val="00E302C3"/>
    <w:rsid w:val="00E30E0B"/>
    <w:rsid w:val="00E312A4"/>
    <w:rsid w:val="00E31493"/>
    <w:rsid w:val="00E31ACA"/>
    <w:rsid w:val="00E31E2B"/>
    <w:rsid w:val="00E33778"/>
    <w:rsid w:val="00E33992"/>
    <w:rsid w:val="00E33B9B"/>
    <w:rsid w:val="00E342C9"/>
    <w:rsid w:val="00E36494"/>
    <w:rsid w:val="00E36D90"/>
    <w:rsid w:val="00E37193"/>
    <w:rsid w:val="00E3793C"/>
    <w:rsid w:val="00E409A3"/>
    <w:rsid w:val="00E40E6D"/>
    <w:rsid w:val="00E41D67"/>
    <w:rsid w:val="00E45B1A"/>
    <w:rsid w:val="00E45E73"/>
    <w:rsid w:val="00E463B9"/>
    <w:rsid w:val="00E47599"/>
    <w:rsid w:val="00E5044D"/>
    <w:rsid w:val="00E504E5"/>
    <w:rsid w:val="00E50DCA"/>
    <w:rsid w:val="00E535DB"/>
    <w:rsid w:val="00E536FB"/>
    <w:rsid w:val="00E53E54"/>
    <w:rsid w:val="00E54771"/>
    <w:rsid w:val="00E55DD3"/>
    <w:rsid w:val="00E561D1"/>
    <w:rsid w:val="00E56388"/>
    <w:rsid w:val="00E56AA5"/>
    <w:rsid w:val="00E56F35"/>
    <w:rsid w:val="00E57945"/>
    <w:rsid w:val="00E60568"/>
    <w:rsid w:val="00E60E70"/>
    <w:rsid w:val="00E615B1"/>
    <w:rsid w:val="00E61A60"/>
    <w:rsid w:val="00E6283F"/>
    <w:rsid w:val="00E62F77"/>
    <w:rsid w:val="00E64005"/>
    <w:rsid w:val="00E64369"/>
    <w:rsid w:val="00E66A5D"/>
    <w:rsid w:val="00E67403"/>
    <w:rsid w:val="00E676F0"/>
    <w:rsid w:val="00E67C25"/>
    <w:rsid w:val="00E67CF7"/>
    <w:rsid w:val="00E7010A"/>
    <w:rsid w:val="00E70410"/>
    <w:rsid w:val="00E70582"/>
    <w:rsid w:val="00E7328A"/>
    <w:rsid w:val="00E741F6"/>
    <w:rsid w:val="00E758EB"/>
    <w:rsid w:val="00E75ED2"/>
    <w:rsid w:val="00E760A4"/>
    <w:rsid w:val="00E76513"/>
    <w:rsid w:val="00E766BB"/>
    <w:rsid w:val="00E76EBE"/>
    <w:rsid w:val="00E7708E"/>
    <w:rsid w:val="00E772E9"/>
    <w:rsid w:val="00E772F4"/>
    <w:rsid w:val="00E8078E"/>
    <w:rsid w:val="00E80A02"/>
    <w:rsid w:val="00E80A4F"/>
    <w:rsid w:val="00E80DEC"/>
    <w:rsid w:val="00E8122B"/>
    <w:rsid w:val="00E812BD"/>
    <w:rsid w:val="00E8131E"/>
    <w:rsid w:val="00E81866"/>
    <w:rsid w:val="00E82528"/>
    <w:rsid w:val="00E8257C"/>
    <w:rsid w:val="00E82CB1"/>
    <w:rsid w:val="00E8496A"/>
    <w:rsid w:val="00E85536"/>
    <w:rsid w:val="00E85A18"/>
    <w:rsid w:val="00E85F66"/>
    <w:rsid w:val="00E85FB1"/>
    <w:rsid w:val="00E86126"/>
    <w:rsid w:val="00E861CA"/>
    <w:rsid w:val="00E867B4"/>
    <w:rsid w:val="00E86E14"/>
    <w:rsid w:val="00E86FE6"/>
    <w:rsid w:val="00E874E7"/>
    <w:rsid w:val="00E90226"/>
    <w:rsid w:val="00E905CB"/>
    <w:rsid w:val="00E91808"/>
    <w:rsid w:val="00E9299F"/>
    <w:rsid w:val="00E92AC2"/>
    <w:rsid w:val="00E92E69"/>
    <w:rsid w:val="00E950FD"/>
    <w:rsid w:val="00E96C13"/>
    <w:rsid w:val="00E96DB5"/>
    <w:rsid w:val="00E96E8B"/>
    <w:rsid w:val="00EA0506"/>
    <w:rsid w:val="00EA0664"/>
    <w:rsid w:val="00EA07EE"/>
    <w:rsid w:val="00EA0B79"/>
    <w:rsid w:val="00EA0F9C"/>
    <w:rsid w:val="00EA21CD"/>
    <w:rsid w:val="00EA231A"/>
    <w:rsid w:val="00EA2B48"/>
    <w:rsid w:val="00EA4B23"/>
    <w:rsid w:val="00EA4B9F"/>
    <w:rsid w:val="00EA5910"/>
    <w:rsid w:val="00EA66E1"/>
    <w:rsid w:val="00EA6ABF"/>
    <w:rsid w:val="00EA6CB6"/>
    <w:rsid w:val="00EA70A4"/>
    <w:rsid w:val="00EA7AD3"/>
    <w:rsid w:val="00EA7C82"/>
    <w:rsid w:val="00EA7DCA"/>
    <w:rsid w:val="00EB0D08"/>
    <w:rsid w:val="00EB0F37"/>
    <w:rsid w:val="00EB2D6C"/>
    <w:rsid w:val="00EB2ED8"/>
    <w:rsid w:val="00EB3614"/>
    <w:rsid w:val="00EB3870"/>
    <w:rsid w:val="00EB3CF9"/>
    <w:rsid w:val="00EB3D82"/>
    <w:rsid w:val="00EB4913"/>
    <w:rsid w:val="00EB4A5B"/>
    <w:rsid w:val="00EB4C9E"/>
    <w:rsid w:val="00EB53FB"/>
    <w:rsid w:val="00EB6FBC"/>
    <w:rsid w:val="00EB7335"/>
    <w:rsid w:val="00EB7AD4"/>
    <w:rsid w:val="00EC0057"/>
    <w:rsid w:val="00EC05DD"/>
    <w:rsid w:val="00EC107C"/>
    <w:rsid w:val="00EC2A6D"/>
    <w:rsid w:val="00EC3210"/>
    <w:rsid w:val="00EC3CF9"/>
    <w:rsid w:val="00EC3D32"/>
    <w:rsid w:val="00EC4380"/>
    <w:rsid w:val="00EC4D8B"/>
    <w:rsid w:val="00EC5635"/>
    <w:rsid w:val="00EC60BF"/>
    <w:rsid w:val="00EC647E"/>
    <w:rsid w:val="00EC772E"/>
    <w:rsid w:val="00EC7F58"/>
    <w:rsid w:val="00ED01D2"/>
    <w:rsid w:val="00ED0914"/>
    <w:rsid w:val="00ED17B9"/>
    <w:rsid w:val="00ED1B89"/>
    <w:rsid w:val="00ED4E5A"/>
    <w:rsid w:val="00ED50B8"/>
    <w:rsid w:val="00ED68DF"/>
    <w:rsid w:val="00ED7492"/>
    <w:rsid w:val="00EE0956"/>
    <w:rsid w:val="00EE0B9C"/>
    <w:rsid w:val="00EE12B0"/>
    <w:rsid w:val="00EE2132"/>
    <w:rsid w:val="00EE2CEC"/>
    <w:rsid w:val="00EE3EA5"/>
    <w:rsid w:val="00EE4FFA"/>
    <w:rsid w:val="00EE6119"/>
    <w:rsid w:val="00EE6255"/>
    <w:rsid w:val="00EF0A2B"/>
    <w:rsid w:val="00EF1668"/>
    <w:rsid w:val="00EF21AC"/>
    <w:rsid w:val="00EF2471"/>
    <w:rsid w:val="00EF32E0"/>
    <w:rsid w:val="00EF342A"/>
    <w:rsid w:val="00EF3C57"/>
    <w:rsid w:val="00EF41E7"/>
    <w:rsid w:val="00EF6115"/>
    <w:rsid w:val="00EF626B"/>
    <w:rsid w:val="00EF6B51"/>
    <w:rsid w:val="00EF78C0"/>
    <w:rsid w:val="00F01D0B"/>
    <w:rsid w:val="00F01DC1"/>
    <w:rsid w:val="00F0253C"/>
    <w:rsid w:val="00F02656"/>
    <w:rsid w:val="00F02847"/>
    <w:rsid w:val="00F04B37"/>
    <w:rsid w:val="00F05216"/>
    <w:rsid w:val="00F058B4"/>
    <w:rsid w:val="00F05A6A"/>
    <w:rsid w:val="00F05C58"/>
    <w:rsid w:val="00F06641"/>
    <w:rsid w:val="00F075D0"/>
    <w:rsid w:val="00F07665"/>
    <w:rsid w:val="00F078E2"/>
    <w:rsid w:val="00F079BA"/>
    <w:rsid w:val="00F07F62"/>
    <w:rsid w:val="00F1020C"/>
    <w:rsid w:val="00F10B82"/>
    <w:rsid w:val="00F11280"/>
    <w:rsid w:val="00F115CE"/>
    <w:rsid w:val="00F12473"/>
    <w:rsid w:val="00F12AC7"/>
    <w:rsid w:val="00F13749"/>
    <w:rsid w:val="00F14D6E"/>
    <w:rsid w:val="00F1500E"/>
    <w:rsid w:val="00F151E5"/>
    <w:rsid w:val="00F15A41"/>
    <w:rsid w:val="00F16323"/>
    <w:rsid w:val="00F1633C"/>
    <w:rsid w:val="00F16BCA"/>
    <w:rsid w:val="00F17BF0"/>
    <w:rsid w:val="00F20228"/>
    <w:rsid w:val="00F20758"/>
    <w:rsid w:val="00F207A2"/>
    <w:rsid w:val="00F217CE"/>
    <w:rsid w:val="00F21C74"/>
    <w:rsid w:val="00F21D93"/>
    <w:rsid w:val="00F228B6"/>
    <w:rsid w:val="00F233B0"/>
    <w:rsid w:val="00F24E5E"/>
    <w:rsid w:val="00F2522B"/>
    <w:rsid w:val="00F2609A"/>
    <w:rsid w:val="00F2667A"/>
    <w:rsid w:val="00F27AEF"/>
    <w:rsid w:val="00F27DD7"/>
    <w:rsid w:val="00F27F77"/>
    <w:rsid w:val="00F30164"/>
    <w:rsid w:val="00F31015"/>
    <w:rsid w:val="00F31BB1"/>
    <w:rsid w:val="00F329BA"/>
    <w:rsid w:val="00F32BA3"/>
    <w:rsid w:val="00F33D03"/>
    <w:rsid w:val="00F34797"/>
    <w:rsid w:val="00F34F0C"/>
    <w:rsid w:val="00F3616D"/>
    <w:rsid w:val="00F3687F"/>
    <w:rsid w:val="00F36A37"/>
    <w:rsid w:val="00F37240"/>
    <w:rsid w:val="00F3733A"/>
    <w:rsid w:val="00F37B10"/>
    <w:rsid w:val="00F4130F"/>
    <w:rsid w:val="00F41427"/>
    <w:rsid w:val="00F4180D"/>
    <w:rsid w:val="00F41AEF"/>
    <w:rsid w:val="00F43B54"/>
    <w:rsid w:val="00F477B4"/>
    <w:rsid w:val="00F478CA"/>
    <w:rsid w:val="00F47DE2"/>
    <w:rsid w:val="00F5037D"/>
    <w:rsid w:val="00F5061B"/>
    <w:rsid w:val="00F51985"/>
    <w:rsid w:val="00F52E33"/>
    <w:rsid w:val="00F52F34"/>
    <w:rsid w:val="00F5378A"/>
    <w:rsid w:val="00F55609"/>
    <w:rsid w:val="00F5587D"/>
    <w:rsid w:val="00F55F57"/>
    <w:rsid w:val="00F563F7"/>
    <w:rsid w:val="00F56C11"/>
    <w:rsid w:val="00F5727F"/>
    <w:rsid w:val="00F576EE"/>
    <w:rsid w:val="00F57D60"/>
    <w:rsid w:val="00F625D3"/>
    <w:rsid w:val="00F62E3E"/>
    <w:rsid w:val="00F62F95"/>
    <w:rsid w:val="00F63369"/>
    <w:rsid w:val="00F6438B"/>
    <w:rsid w:val="00F64FF6"/>
    <w:rsid w:val="00F65029"/>
    <w:rsid w:val="00F66113"/>
    <w:rsid w:val="00F66123"/>
    <w:rsid w:val="00F66687"/>
    <w:rsid w:val="00F67AF9"/>
    <w:rsid w:val="00F67EDD"/>
    <w:rsid w:val="00F70310"/>
    <w:rsid w:val="00F72A79"/>
    <w:rsid w:val="00F732AE"/>
    <w:rsid w:val="00F73DBD"/>
    <w:rsid w:val="00F746DF"/>
    <w:rsid w:val="00F74779"/>
    <w:rsid w:val="00F74826"/>
    <w:rsid w:val="00F761FD"/>
    <w:rsid w:val="00F76323"/>
    <w:rsid w:val="00F76765"/>
    <w:rsid w:val="00F80F81"/>
    <w:rsid w:val="00F83D3B"/>
    <w:rsid w:val="00F84B1C"/>
    <w:rsid w:val="00F8649E"/>
    <w:rsid w:val="00F86A65"/>
    <w:rsid w:val="00F875B5"/>
    <w:rsid w:val="00F9045C"/>
    <w:rsid w:val="00F91307"/>
    <w:rsid w:val="00F91C02"/>
    <w:rsid w:val="00F91D0C"/>
    <w:rsid w:val="00F92640"/>
    <w:rsid w:val="00F93B05"/>
    <w:rsid w:val="00F93CDB"/>
    <w:rsid w:val="00F93DAD"/>
    <w:rsid w:val="00F9571C"/>
    <w:rsid w:val="00F95ABC"/>
    <w:rsid w:val="00F95C3A"/>
    <w:rsid w:val="00F96241"/>
    <w:rsid w:val="00FA13E4"/>
    <w:rsid w:val="00FA20BD"/>
    <w:rsid w:val="00FA213D"/>
    <w:rsid w:val="00FA2269"/>
    <w:rsid w:val="00FA353C"/>
    <w:rsid w:val="00FA3899"/>
    <w:rsid w:val="00FA38EE"/>
    <w:rsid w:val="00FA3F04"/>
    <w:rsid w:val="00FA450B"/>
    <w:rsid w:val="00FA4747"/>
    <w:rsid w:val="00FA6722"/>
    <w:rsid w:val="00FA676E"/>
    <w:rsid w:val="00FA7D85"/>
    <w:rsid w:val="00FB0361"/>
    <w:rsid w:val="00FB076A"/>
    <w:rsid w:val="00FB14B0"/>
    <w:rsid w:val="00FB18F6"/>
    <w:rsid w:val="00FB18FB"/>
    <w:rsid w:val="00FB1B1D"/>
    <w:rsid w:val="00FB1C0E"/>
    <w:rsid w:val="00FB34B2"/>
    <w:rsid w:val="00FB3CCC"/>
    <w:rsid w:val="00FB50EA"/>
    <w:rsid w:val="00FB51F7"/>
    <w:rsid w:val="00FB562D"/>
    <w:rsid w:val="00FB7634"/>
    <w:rsid w:val="00FC1273"/>
    <w:rsid w:val="00FC3247"/>
    <w:rsid w:val="00FC381F"/>
    <w:rsid w:val="00FC3E5F"/>
    <w:rsid w:val="00FC4012"/>
    <w:rsid w:val="00FC4863"/>
    <w:rsid w:val="00FC4B03"/>
    <w:rsid w:val="00FC4DE2"/>
    <w:rsid w:val="00FC6819"/>
    <w:rsid w:val="00FC6D98"/>
    <w:rsid w:val="00FC7466"/>
    <w:rsid w:val="00FC7D99"/>
    <w:rsid w:val="00FD11C2"/>
    <w:rsid w:val="00FD1427"/>
    <w:rsid w:val="00FD24DF"/>
    <w:rsid w:val="00FD2871"/>
    <w:rsid w:val="00FD4DDC"/>
    <w:rsid w:val="00FD57D8"/>
    <w:rsid w:val="00FD6747"/>
    <w:rsid w:val="00FD7229"/>
    <w:rsid w:val="00FD78D2"/>
    <w:rsid w:val="00FE0D97"/>
    <w:rsid w:val="00FE13D0"/>
    <w:rsid w:val="00FE1F10"/>
    <w:rsid w:val="00FE2043"/>
    <w:rsid w:val="00FE32DC"/>
    <w:rsid w:val="00FE432C"/>
    <w:rsid w:val="00FE4D16"/>
    <w:rsid w:val="00FE5117"/>
    <w:rsid w:val="00FE5B26"/>
    <w:rsid w:val="00FE67BD"/>
    <w:rsid w:val="00FE6C55"/>
    <w:rsid w:val="00FE7491"/>
    <w:rsid w:val="00FF0125"/>
    <w:rsid w:val="00FF01CF"/>
    <w:rsid w:val="00FF02C8"/>
    <w:rsid w:val="00FF0D33"/>
    <w:rsid w:val="00FF1A6C"/>
    <w:rsid w:val="00FF2654"/>
    <w:rsid w:val="00FF2EC9"/>
    <w:rsid w:val="00FF3B2A"/>
    <w:rsid w:val="00FF4217"/>
    <w:rsid w:val="00FF4DF9"/>
    <w:rsid w:val="00FF5FDA"/>
    <w:rsid w:val="00FF5FDB"/>
    <w:rsid w:val="00FF7762"/>
    <w:rsid w:val="00FF7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9E238"/>
  <w15:docId w15:val="{335C4DEE-BEEC-4D55-AD27-FF7D0D09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1F4"/>
    <w:rPr>
      <w:sz w:val="24"/>
      <w:szCs w:val="24"/>
      <w:lang w:val="en-US" w:eastAsia="en-US"/>
    </w:rPr>
  </w:style>
  <w:style w:type="paragraph" w:styleId="Heading1">
    <w:name w:val="heading 1"/>
    <w:basedOn w:val="Normal"/>
    <w:next w:val="Normal"/>
    <w:link w:val="Heading1Char"/>
    <w:uiPriority w:val="99"/>
    <w:qFormat/>
    <w:rsid w:val="004314C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314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853E6"/>
    <w:pPr>
      <w:keepNext/>
      <w:spacing w:before="240" w:after="60"/>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3239"/>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B43239"/>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537297"/>
    <w:rPr>
      <w:rFonts w:ascii="Cambria" w:hAnsi="Cambria" w:cs="Times New Roman"/>
      <w:b/>
      <w:sz w:val="26"/>
      <w:lang w:val="en-US" w:eastAsia="en-US"/>
    </w:rPr>
  </w:style>
  <w:style w:type="paragraph" w:customStyle="1" w:styleId="FigureHeading">
    <w:name w:val="Figure Heading"/>
    <w:basedOn w:val="Caption"/>
    <w:next w:val="Normal"/>
    <w:autoRedefine/>
    <w:uiPriority w:val="99"/>
    <w:rsid w:val="003D77CB"/>
    <w:pPr>
      <w:spacing w:after="0" w:line="360" w:lineRule="auto"/>
    </w:pPr>
    <w:rPr>
      <w:rFonts w:ascii="Arial" w:hAnsi="Arial" w:cs="Arial"/>
      <w:b w:val="0"/>
      <w:bCs w:val="0"/>
      <w:i/>
      <w:iCs/>
      <w:sz w:val="22"/>
      <w:szCs w:val="22"/>
      <w:lang w:val="en-AU"/>
    </w:rPr>
  </w:style>
  <w:style w:type="paragraph" w:styleId="Caption">
    <w:name w:val="caption"/>
    <w:basedOn w:val="Normal"/>
    <w:next w:val="Normal"/>
    <w:uiPriority w:val="35"/>
    <w:qFormat/>
    <w:rsid w:val="003D77CB"/>
    <w:pPr>
      <w:spacing w:before="120" w:after="120"/>
    </w:pPr>
    <w:rPr>
      <w:b/>
      <w:bCs/>
      <w:sz w:val="20"/>
      <w:szCs w:val="20"/>
    </w:rPr>
  </w:style>
  <w:style w:type="table" w:styleId="TableGrid">
    <w:name w:val="Table Grid"/>
    <w:basedOn w:val="TableNormal"/>
    <w:uiPriority w:val="99"/>
    <w:rsid w:val="001A5E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853E6"/>
    <w:pPr>
      <w:tabs>
        <w:tab w:val="center" w:pos="4512"/>
      </w:tabs>
      <w:suppressAutoHyphens/>
      <w:spacing w:line="480" w:lineRule="auto"/>
      <w:jc w:val="both"/>
    </w:pPr>
    <w:rPr>
      <w:szCs w:val="20"/>
    </w:rPr>
  </w:style>
  <w:style w:type="character" w:customStyle="1" w:styleId="BodyTextChar">
    <w:name w:val="Body Text Char"/>
    <w:basedOn w:val="DefaultParagraphFont"/>
    <w:link w:val="BodyText"/>
    <w:uiPriority w:val="99"/>
    <w:semiHidden/>
    <w:locked/>
    <w:rsid w:val="00537297"/>
    <w:rPr>
      <w:rFonts w:cs="Times New Roman"/>
      <w:sz w:val="24"/>
      <w:lang w:val="en-US" w:eastAsia="en-US"/>
    </w:rPr>
  </w:style>
  <w:style w:type="paragraph" w:styleId="BalloonText">
    <w:name w:val="Balloon Text"/>
    <w:basedOn w:val="Normal"/>
    <w:link w:val="BalloonTextChar"/>
    <w:uiPriority w:val="99"/>
    <w:semiHidden/>
    <w:rsid w:val="001A61F4"/>
    <w:rPr>
      <w:szCs w:val="20"/>
    </w:rPr>
  </w:style>
  <w:style w:type="character" w:customStyle="1" w:styleId="BalloonTextChar">
    <w:name w:val="Balloon Text Char"/>
    <w:basedOn w:val="DefaultParagraphFont"/>
    <w:link w:val="BalloonText"/>
    <w:uiPriority w:val="99"/>
    <w:semiHidden/>
    <w:locked/>
    <w:rsid w:val="001A61F4"/>
    <w:rPr>
      <w:sz w:val="24"/>
      <w:szCs w:val="20"/>
      <w:lang w:val="en-US" w:eastAsia="en-US"/>
    </w:rPr>
  </w:style>
  <w:style w:type="paragraph" w:styleId="Footer">
    <w:name w:val="footer"/>
    <w:basedOn w:val="Normal"/>
    <w:link w:val="FooterChar"/>
    <w:uiPriority w:val="99"/>
    <w:rsid w:val="00FA7D85"/>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537297"/>
    <w:rPr>
      <w:rFonts w:cs="Times New Roman"/>
      <w:sz w:val="24"/>
      <w:lang w:val="en-US" w:eastAsia="en-US"/>
    </w:rPr>
  </w:style>
  <w:style w:type="character" w:styleId="PageNumber">
    <w:name w:val="page number"/>
    <w:basedOn w:val="DefaultParagraphFont"/>
    <w:uiPriority w:val="99"/>
    <w:rsid w:val="00FA7D85"/>
    <w:rPr>
      <w:rFonts w:cs="Times New Roman"/>
    </w:rPr>
  </w:style>
  <w:style w:type="paragraph" w:styleId="Header">
    <w:name w:val="header"/>
    <w:basedOn w:val="Normal"/>
    <w:link w:val="HeaderChar"/>
    <w:uiPriority w:val="99"/>
    <w:rsid w:val="00FA7D85"/>
    <w:pPr>
      <w:tabs>
        <w:tab w:val="center" w:pos="4320"/>
        <w:tab w:val="right" w:pos="8640"/>
      </w:tabs>
    </w:pPr>
    <w:rPr>
      <w:szCs w:val="20"/>
    </w:rPr>
  </w:style>
  <w:style w:type="character" w:customStyle="1" w:styleId="HeaderChar">
    <w:name w:val="Header Char"/>
    <w:basedOn w:val="DefaultParagraphFont"/>
    <w:link w:val="Header"/>
    <w:uiPriority w:val="99"/>
    <w:locked/>
    <w:rsid w:val="00537297"/>
    <w:rPr>
      <w:rFonts w:cs="Times New Roman"/>
      <w:sz w:val="24"/>
      <w:lang w:val="en-US" w:eastAsia="en-US"/>
    </w:rPr>
  </w:style>
  <w:style w:type="paragraph" w:styleId="FootnoteText">
    <w:name w:val="footnote text"/>
    <w:basedOn w:val="Normal"/>
    <w:link w:val="FootnoteTextChar"/>
    <w:uiPriority w:val="99"/>
    <w:semiHidden/>
    <w:rsid w:val="00CA38F2"/>
    <w:rPr>
      <w:sz w:val="20"/>
      <w:szCs w:val="20"/>
    </w:rPr>
  </w:style>
  <w:style w:type="character" w:customStyle="1" w:styleId="FootnoteTextChar">
    <w:name w:val="Footnote Text Char"/>
    <w:basedOn w:val="DefaultParagraphFont"/>
    <w:link w:val="FootnoteText"/>
    <w:uiPriority w:val="99"/>
    <w:semiHidden/>
    <w:locked/>
    <w:rsid w:val="00537297"/>
    <w:rPr>
      <w:rFonts w:cs="Times New Roman"/>
      <w:sz w:val="20"/>
      <w:lang w:val="en-US" w:eastAsia="en-US"/>
    </w:rPr>
  </w:style>
  <w:style w:type="character" w:styleId="FootnoteReference">
    <w:name w:val="footnote reference"/>
    <w:basedOn w:val="DefaultParagraphFont"/>
    <w:uiPriority w:val="99"/>
    <w:semiHidden/>
    <w:rsid w:val="00CA38F2"/>
    <w:rPr>
      <w:rFonts w:cs="Times New Roman"/>
      <w:vertAlign w:val="superscript"/>
    </w:rPr>
  </w:style>
  <w:style w:type="paragraph" w:styleId="PlainText">
    <w:name w:val="Plain Text"/>
    <w:basedOn w:val="Normal"/>
    <w:link w:val="PlainTextChar"/>
    <w:uiPriority w:val="99"/>
    <w:rsid w:val="00513440"/>
    <w:pPr>
      <w:snapToGrid w:val="0"/>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537297"/>
    <w:rPr>
      <w:rFonts w:ascii="Courier New" w:hAnsi="Courier New" w:cs="Times New Roman"/>
      <w:sz w:val="20"/>
      <w:lang w:val="en-US" w:eastAsia="en-US"/>
    </w:rPr>
  </w:style>
  <w:style w:type="character" w:styleId="CommentReference">
    <w:name w:val="annotation reference"/>
    <w:basedOn w:val="DefaultParagraphFont"/>
    <w:uiPriority w:val="99"/>
    <w:semiHidden/>
    <w:rsid w:val="0080571C"/>
    <w:rPr>
      <w:rFonts w:cs="Times New Roman"/>
      <w:sz w:val="16"/>
    </w:rPr>
  </w:style>
  <w:style w:type="paragraph" w:styleId="CommentText">
    <w:name w:val="annotation text"/>
    <w:basedOn w:val="Normal"/>
    <w:link w:val="CommentTextChar"/>
    <w:uiPriority w:val="99"/>
    <w:semiHidden/>
    <w:rsid w:val="0080571C"/>
    <w:rPr>
      <w:sz w:val="20"/>
      <w:szCs w:val="20"/>
    </w:rPr>
  </w:style>
  <w:style w:type="character" w:customStyle="1" w:styleId="CommentTextChar">
    <w:name w:val="Comment Text Char"/>
    <w:basedOn w:val="DefaultParagraphFont"/>
    <w:link w:val="CommentText"/>
    <w:uiPriority w:val="99"/>
    <w:semiHidden/>
    <w:locked/>
    <w:rsid w:val="00B43239"/>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80571C"/>
    <w:rPr>
      <w:b/>
      <w:bCs/>
    </w:rPr>
  </w:style>
  <w:style w:type="character" w:customStyle="1" w:styleId="CommentSubjectChar">
    <w:name w:val="Comment Subject Char"/>
    <w:basedOn w:val="CommentTextChar"/>
    <w:link w:val="CommentSubject"/>
    <w:uiPriority w:val="99"/>
    <w:semiHidden/>
    <w:locked/>
    <w:rsid w:val="00B43239"/>
    <w:rPr>
      <w:rFonts w:cs="Times New Roman"/>
      <w:b/>
      <w:bCs/>
      <w:sz w:val="20"/>
      <w:szCs w:val="20"/>
      <w:lang w:val="en-US" w:eastAsia="en-US"/>
    </w:rPr>
  </w:style>
  <w:style w:type="paragraph" w:customStyle="1" w:styleId="Columnheading">
    <w:name w:val="Column heading"/>
    <w:basedOn w:val="Heading2"/>
    <w:uiPriority w:val="99"/>
    <w:rsid w:val="004314C6"/>
    <w:pPr>
      <w:keepNext w:val="0"/>
      <w:spacing w:before="0" w:after="0"/>
      <w:jc w:val="center"/>
    </w:pPr>
    <w:rPr>
      <w:rFonts w:ascii="Verdana" w:hAnsi="Verdana" w:cs="Times New Roman"/>
      <w:i w:val="0"/>
      <w:iCs w:val="0"/>
      <w:sz w:val="15"/>
      <w:szCs w:val="16"/>
    </w:rPr>
  </w:style>
  <w:style w:type="paragraph" w:customStyle="1" w:styleId="Directions">
    <w:name w:val="Directions"/>
    <w:basedOn w:val="Normal"/>
    <w:uiPriority w:val="99"/>
    <w:rsid w:val="004314C6"/>
    <w:pPr>
      <w:jc w:val="center"/>
    </w:pPr>
    <w:rPr>
      <w:rFonts w:ascii="Verdana" w:hAnsi="Verdana"/>
      <w:sz w:val="16"/>
      <w:szCs w:val="16"/>
    </w:rPr>
  </w:style>
  <w:style w:type="paragraph" w:customStyle="1" w:styleId="Numbers">
    <w:name w:val="Numbers"/>
    <w:basedOn w:val="Normal"/>
    <w:uiPriority w:val="99"/>
    <w:rsid w:val="004314C6"/>
    <w:pPr>
      <w:jc w:val="center"/>
    </w:pPr>
    <w:rPr>
      <w:rFonts w:ascii="Verdana" w:hAnsi="Verdana"/>
      <w:sz w:val="16"/>
      <w:szCs w:val="16"/>
    </w:rPr>
  </w:style>
  <w:style w:type="paragraph" w:styleId="NoSpacing">
    <w:name w:val="No Spacing"/>
    <w:uiPriority w:val="99"/>
    <w:qFormat/>
    <w:rsid w:val="0030635B"/>
    <w:rPr>
      <w:rFonts w:ascii="Calibri" w:hAnsi="Calibri"/>
      <w:lang w:val="en-US" w:eastAsia="en-US"/>
    </w:rPr>
  </w:style>
  <w:style w:type="paragraph" w:styleId="ListParagraph">
    <w:name w:val="List Paragraph"/>
    <w:basedOn w:val="Normal"/>
    <w:uiPriority w:val="99"/>
    <w:qFormat/>
    <w:rsid w:val="004027AA"/>
    <w:pPr>
      <w:spacing w:after="200" w:line="276" w:lineRule="auto"/>
      <w:ind w:left="720"/>
    </w:pPr>
    <w:rPr>
      <w:rFonts w:ascii="Calibri" w:hAnsi="Calibri"/>
      <w:sz w:val="22"/>
      <w:szCs w:val="22"/>
    </w:rPr>
  </w:style>
  <w:style w:type="paragraph" w:customStyle="1" w:styleId="Para">
    <w:name w:val="Para"/>
    <w:uiPriority w:val="99"/>
    <w:rsid w:val="00C20A98"/>
    <w:pPr>
      <w:spacing w:after="120"/>
      <w:ind w:left="720" w:firstLine="720"/>
    </w:pPr>
    <w:rPr>
      <w:sz w:val="26"/>
      <w:szCs w:val="20"/>
      <w:lang w:val="en-US" w:eastAsia="en-US"/>
    </w:rPr>
  </w:style>
  <w:style w:type="character" w:customStyle="1" w:styleId="CharChar">
    <w:name w:val="Char Char"/>
    <w:uiPriority w:val="99"/>
    <w:rsid w:val="00C20A98"/>
    <w:rPr>
      <w:rFonts w:ascii="Courier New" w:hAnsi="Courier New"/>
      <w:color w:val="000000"/>
      <w:lang w:val="en-GB" w:eastAsia="en-GB"/>
    </w:rPr>
  </w:style>
  <w:style w:type="character" w:styleId="Emphasis">
    <w:name w:val="Emphasis"/>
    <w:basedOn w:val="DefaultParagraphFont"/>
    <w:uiPriority w:val="99"/>
    <w:qFormat/>
    <w:rsid w:val="00C20A98"/>
    <w:rPr>
      <w:rFonts w:cs="Times New Roman"/>
      <w:i/>
    </w:rPr>
  </w:style>
  <w:style w:type="paragraph" w:customStyle="1" w:styleId="WW-HTMLconformatoprevio">
    <w:name w:val="WW-HTML con formato previo"/>
    <w:basedOn w:val="Normal"/>
    <w:uiPriority w:val="99"/>
    <w:rsid w:val="00A0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es-ES" w:eastAsia="ar-SA"/>
    </w:rPr>
  </w:style>
  <w:style w:type="character" w:styleId="Strong">
    <w:name w:val="Strong"/>
    <w:basedOn w:val="DefaultParagraphFont"/>
    <w:uiPriority w:val="99"/>
    <w:qFormat/>
    <w:rsid w:val="00A06B5C"/>
    <w:rPr>
      <w:rFonts w:cs="Times New Roman"/>
      <w:b/>
    </w:rPr>
  </w:style>
  <w:style w:type="paragraph" w:customStyle="1" w:styleId="articledetails">
    <w:name w:val="articledetails"/>
    <w:basedOn w:val="Normal"/>
    <w:uiPriority w:val="99"/>
    <w:rsid w:val="00B52F39"/>
    <w:pPr>
      <w:spacing w:before="100" w:beforeAutospacing="1" w:after="100" w:afterAutospacing="1"/>
    </w:pPr>
    <w:rPr>
      <w:lang w:val="en-GB" w:eastAsia="en-GB"/>
    </w:rPr>
  </w:style>
  <w:style w:type="character" w:styleId="Hyperlink">
    <w:name w:val="Hyperlink"/>
    <w:basedOn w:val="DefaultParagraphFont"/>
    <w:uiPriority w:val="99"/>
    <w:rsid w:val="009340FD"/>
    <w:rPr>
      <w:rFonts w:cs="Times New Roman"/>
      <w:color w:val="0000FF"/>
      <w:u w:val="single"/>
    </w:rPr>
  </w:style>
  <w:style w:type="paragraph" w:styleId="NormalWeb">
    <w:name w:val="Normal (Web)"/>
    <w:basedOn w:val="Normal"/>
    <w:uiPriority w:val="99"/>
    <w:rsid w:val="001350F6"/>
    <w:pPr>
      <w:spacing w:before="100" w:beforeAutospacing="1" w:after="100" w:afterAutospacing="1"/>
    </w:pPr>
    <w:rPr>
      <w:lang w:val="en-GB" w:eastAsia="en-GB"/>
    </w:rPr>
  </w:style>
  <w:style w:type="character" w:customStyle="1" w:styleId="hit">
    <w:name w:val="hit"/>
    <w:uiPriority w:val="99"/>
    <w:rsid w:val="001350F6"/>
  </w:style>
  <w:style w:type="character" w:customStyle="1" w:styleId="scopuslogotxt">
    <w:name w:val="scopus_logo_txt"/>
    <w:uiPriority w:val="99"/>
    <w:rsid w:val="001350F6"/>
  </w:style>
  <w:style w:type="paragraph" w:styleId="Revision">
    <w:name w:val="Revision"/>
    <w:hidden/>
    <w:uiPriority w:val="99"/>
    <w:semiHidden/>
    <w:rsid w:val="00A7113C"/>
    <w:rPr>
      <w:sz w:val="24"/>
      <w:szCs w:val="24"/>
      <w:lang w:val="en-US" w:eastAsia="en-US"/>
    </w:rPr>
  </w:style>
  <w:style w:type="character" w:customStyle="1" w:styleId="citation-abbreviation">
    <w:name w:val="citation-abbreviation"/>
    <w:basedOn w:val="DefaultParagraphFont"/>
    <w:uiPriority w:val="99"/>
    <w:rsid w:val="00492746"/>
    <w:rPr>
      <w:rFonts w:cs="Times New Roman"/>
    </w:rPr>
  </w:style>
  <w:style w:type="character" w:customStyle="1" w:styleId="citation-volume">
    <w:name w:val="citation-volume"/>
    <w:basedOn w:val="DefaultParagraphFont"/>
    <w:uiPriority w:val="99"/>
    <w:rsid w:val="00492746"/>
    <w:rPr>
      <w:rFonts w:cs="Times New Roman"/>
    </w:rPr>
  </w:style>
  <w:style w:type="character" w:customStyle="1" w:styleId="citation-flpages">
    <w:name w:val="citation-flpages"/>
    <w:basedOn w:val="DefaultParagraphFont"/>
    <w:uiPriority w:val="99"/>
    <w:rsid w:val="00492746"/>
    <w:rPr>
      <w:rFonts w:cs="Times New Roman"/>
    </w:rPr>
  </w:style>
  <w:style w:type="paragraph" w:styleId="HTMLPreformatted">
    <w:name w:val="HTML Preformatted"/>
    <w:basedOn w:val="Normal"/>
    <w:link w:val="HTMLPreformattedChar"/>
    <w:uiPriority w:val="99"/>
    <w:rsid w:val="00D4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bidi="ta-IN"/>
    </w:rPr>
  </w:style>
  <w:style w:type="character" w:customStyle="1" w:styleId="HTMLPreformattedChar">
    <w:name w:val="HTML Preformatted Char"/>
    <w:basedOn w:val="DefaultParagraphFont"/>
    <w:link w:val="HTMLPreformatted"/>
    <w:uiPriority w:val="99"/>
    <w:semiHidden/>
    <w:locked/>
    <w:rsid w:val="00B43239"/>
    <w:rPr>
      <w:rFonts w:ascii="Courier New" w:hAnsi="Courier New" w:cs="Courier New"/>
      <w:sz w:val="20"/>
      <w:szCs w:val="20"/>
      <w:lang w:val="en-US" w:eastAsia="en-US"/>
    </w:rPr>
  </w:style>
  <w:style w:type="character" w:styleId="FollowedHyperlink">
    <w:name w:val="FollowedHyperlink"/>
    <w:basedOn w:val="DefaultParagraphFont"/>
    <w:uiPriority w:val="99"/>
    <w:rsid w:val="00521D7A"/>
    <w:rPr>
      <w:rFonts w:cs="Times New Roman"/>
      <w:color w:val="800080"/>
      <w:u w:val="single"/>
    </w:rPr>
  </w:style>
  <w:style w:type="character" w:customStyle="1" w:styleId="refbody">
    <w:name w:val="refbody"/>
    <w:uiPriority w:val="99"/>
    <w:rsid w:val="004D01F6"/>
  </w:style>
  <w:style w:type="character" w:customStyle="1" w:styleId="googqs-tidbit">
    <w:name w:val="goog_qs-tidbit"/>
    <w:uiPriority w:val="99"/>
    <w:rsid w:val="004D01F6"/>
  </w:style>
  <w:style w:type="character" w:customStyle="1" w:styleId="yiv2896786577gscgt">
    <w:name w:val="yiv2896786577gsc_g_t"/>
    <w:basedOn w:val="DefaultParagraphFont"/>
    <w:uiPriority w:val="99"/>
    <w:rsid w:val="00F5378A"/>
    <w:rPr>
      <w:rFonts w:cs="Times New Roman"/>
    </w:rPr>
  </w:style>
  <w:style w:type="character" w:customStyle="1" w:styleId="ata11y">
    <w:name w:val="at_a11y"/>
    <w:basedOn w:val="DefaultParagraphFont"/>
    <w:uiPriority w:val="99"/>
    <w:rsid w:val="00111966"/>
    <w:rPr>
      <w:rFonts w:cs="Times New Roman"/>
    </w:rPr>
  </w:style>
  <w:style w:type="character" w:customStyle="1" w:styleId="slug-doi-wrapper">
    <w:name w:val="slug-doi-wrapper"/>
    <w:basedOn w:val="DefaultParagraphFont"/>
    <w:uiPriority w:val="99"/>
    <w:rsid w:val="001A36D9"/>
    <w:rPr>
      <w:rFonts w:cs="Times New Roman"/>
    </w:rPr>
  </w:style>
  <w:style w:type="character" w:customStyle="1" w:styleId="slug-doi">
    <w:name w:val="slug-doi"/>
    <w:basedOn w:val="DefaultParagraphFont"/>
    <w:uiPriority w:val="99"/>
    <w:rsid w:val="001A36D9"/>
    <w:rPr>
      <w:rFonts w:cs="Times New Roman"/>
    </w:rPr>
  </w:style>
  <w:style w:type="character" w:styleId="PlaceholderText">
    <w:name w:val="Placeholder Text"/>
    <w:basedOn w:val="DefaultParagraphFont"/>
    <w:uiPriority w:val="99"/>
    <w:semiHidden/>
    <w:rsid w:val="0003746C"/>
    <w:rPr>
      <w:color w:val="808080"/>
    </w:rPr>
  </w:style>
  <w:style w:type="paragraph" w:customStyle="1" w:styleId="CitaviBibliographyEntry">
    <w:name w:val="Citavi Bibliography Entry"/>
    <w:basedOn w:val="Normal"/>
    <w:link w:val="CitaviBibliographyEntryZchn"/>
    <w:rsid w:val="006E38B1"/>
    <w:pPr>
      <w:tabs>
        <w:tab w:val="left" w:pos="283"/>
      </w:tabs>
      <w:spacing w:after="60" w:line="360" w:lineRule="auto"/>
      <w:ind w:left="283" w:hanging="283"/>
    </w:pPr>
    <w:rPr>
      <w:rFonts w:eastAsiaTheme="minorHAnsi" w:cstheme="minorBidi"/>
      <w:szCs w:val="22"/>
      <w:lang w:val="de-DE"/>
    </w:rPr>
  </w:style>
  <w:style w:type="character" w:customStyle="1" w:styleId="CitaviBibliographyEntryZchn">
    <w:name w:val="Citavi Bibliography Entry Zchn"/>
    <w:basedOn w:val="DefaultParagraphFont"/>
    <w:link w:val="CitaviBibliographyEntry"/>
    <w:rsid w:val="006E38B1"/>
    <w:rPr>
      <w:rFonts w:eastAsiaTheme="minorHAnsi" w:cstheme="minorBidi"/>
      <w:sz w:val="24"/>
      <w:lang w:val="de-DE" w:eastAsia="en-US"/>
    </w:rPr>
  </w:style>
  <w:style w:type="table" w:customStyle="1" w:styleId="Tabellenraster1">
    <w:name w:val="Tabellenraster1"/>
    <w:basedOn w:val="TableNormal"/>
    <w:next w:val="TableGrid"/>
    <w:uiPriority w:val="59"/>
    <w:rsid w:val="00380A4B"/>
    <w:rPr>
      <w:rFonts w:asciiTheme="minorHAnsi" w:hAnsiTheme="minorHAns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6615">
      <w:bodyDiv w:val="1"/>
      <w:marLeft w:val="0"/>
      <w:marRight w:val="0"/>
      <w:marTop w:val="0"/>
      <w:marBottom w:val="0"/>
      <w:divBdr>
        <w:top w:val="none" w:sz="0" w:space="0" w:color="auto"/>
        <w:left w:val="none" w:sz="0" w:space="0" w:color="auto"/>
        <w:bottom w:val="none" w:sz="0" w:space="0" w:color="auto"/>
        <w:right w:val="none" w:sz="0" w:space="0" w:color="auto"/>
      </w:divBdr>
    </w:div>
    <w:div w:id="277951030">
      <w:marLeft w:val="0"/>
      <w:marRight w:val="0"/>
      <w:marTop w:val="0"/>
      <w:marBottom w:val="0"/>
      <w:divBdr>
        <w:top w:val="none" w:sz="0" w:space="0" w:color="auto"/>
        <w:left w:val="none" w:sz="0" w:space="0" w:color="auto"/>
        <w:bottom w:val="none" w:sz="0" w:space="0" w:color="auto"/>
        <w:right w:val="none" w:sz="0" w:space="0" w:color="auto"/>
      </w:divBdr>
    </w:div>
    <w:div w:id="277951031">
      <w:marLeft w:val="0"/>
      <w:marRight w:val="0"/>
      <w:marTop w:val="0"/>
      <w:marBottom w:val="0"/>
      <w:divBdr>
        <w:top w:val="none" w:sz="0" w:space="0" w:color="auto"/>
        <w:left w:val="none" w:sz="0" w:space="0" w:color="auto"/>
        <w:bottom w:val="none" w:sz="0" w:space="0" w:color="auto"/>
        <w:right w:val="none" w:sz="0" w:space="0" w:color="auto"/>
      </w:divBdr>
      <w:divsChild>
        <w:div w:id="277951029">
          <w:marLeft w:val="720"/>
          <w:marRight w:val="0"/>
          <w:marTop w:val="140"/>
          <w:marBottom w:val="0"/>
          <w:divBdr>
            <w:top w:val="none" w:sz="0" w:space="0" w:color="auto"/>
            <w:left w:val="none" w:sz="0" w:space="0" w:color="auto"/>
            <w:bottom w:val="none" w:sz="0" w:space="0" w:color="auto"/>
            <w:right w:val="none" w:sz="0" w:space="0" w:color="auto"/>
          </w:divBdr>
        </w:div>
      </w:divsChild>
    </w:div>
    <w:div w:id="277951032">
      <w:marLeft w:val="0"/>
      <w:marRight w:val="0"/>
      <w:marTop w:val="0"/>
      <w:marBottom w:val="0"/>
      <w:divBdr>
        <w:top w:val="none" w:sz="0" w:space="0" w:color="auto"/>
        <w:left w:val="none" w:sz="0" w:space="0" w:color="auto"/>
        <w:bottom w:val="none" w:sz="0" w:space="0" w:color="auto"/>
        <w:right w:val="none" w:sz="0" w:space="0" w:color="auto"/>
      </w:divBdr>
    </w:div>
    <w:div w:id="277951035">
      <w:marLeft w:val="0"/>
      <w:marRight w:val="0"/>
      <w:marTop w:val="0"/>
      <w:marBottom w:val="0"/>
      <w:divBdr>
        <w:top w:val="none" w:sz="0" w:space="0" w:color="auto"/>
        <w:left w:val="none" w:sz="0" w:space="0" w:color="auto"/>
        <w:bottom w:val="none" w:sz="0" w:space="0" w:color="auto"/>
        <w:right w:val="none" w:sz="0" w:space="0" w:color="auto"/>
      </w:divBdr>
      <w:divsChild>
        <w:div w:id="277951034">
          <w:marLeft w:val="0"/>
          <w:marRight w:val="0"/>
          <w:marTop w:val="0"/>
          <w:marBottom w:val="0"/>
          <w:divBdr>
            <w:top w:val="none" w:sz="0" w:space="0" w:color="auto"/>
            <w:left w:val="none" w:sz="0" w:space="0" w:color="auto"/>
            <w:bottom w:val="none" w:sz="0" w:space="0" w:color="auto"/>
            <w:right w:val="none" w:sz="0" w:space="0" w:color="auto"/>
          </w:divBdr>
        </w:div>
        <w:div w:id="277951037">
          <w:marLeft w:val="0"/>
          <w:marRight w:val="0"/>
          <w:marTop w:val="0"/>
          <w:marBottom w:val="0"/>
          <w:divBdr>
            <w:top w:val="none" w:sz="0" w:space="0" w:color="auto"/>
            <w:left w:val="none" w:sz="0" w:space="0" w:color="auto"/>
            <w:bottom w:val="none" w:sz="0" w:space="0" w:color="auto"/>
            <w:right w:val="none" w:sz="0" w:space="0" w:color="auto"/>
          </w:divBdr>
          <w:divsChild>
            <w:div w:id="277951033">
              <w:marLeft w:val="0"/>
              <w:marRight w:val="0"/>
              <w:marTop w:val="0"/>
              <w:marBottom w:val="0"/>
              <w:divBdr>
                <w:top w:val="none" w:sz="0" w:space="0" w:color="auto"/>
                <w:left w:val="none" w:sz="0" w:space="0" w:color="auto"/>
                <w:bottom w:val="none" w:sz="0" w:space="0" w:color="auto"/>
                <w:right w:val="none" w:sz="0" w:space="0" w:color="auto"/>
              </w:divBdr>
            </w:div>
            <w:div w:id="277951040">
              <w:marLeft w:val="0"/>
              <w:marRight w:val="0"/>
              <w:marTop w:val="0"/>
              <w:marBottom w:val="0"/>
              <w:divBdr>
                <w:top w:val="none" w:sz="0" w:space="0" w:color="auto"/>
                <w:left w:val="none" w:sz="0" w:space="0" w:color="auto"/>
                <w:bottom w:val="none" w:sz="0" w:space="0" w:color="auto"/>
                <w:right w:val="none" w:sz="0" w:space="0" w:color="auto"/>
              </w:divBdr>
              <w:divsChild>
                <w:div w:id="2779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039">
          <w:marLeft w:val="0"/>
          <w:marRight w:val="0"/>
          <w:marTop w:val="0"/>
          <w:marBottom w:val="0"/>
          <w:divBdr>
            <w:top w:val="none" w:sz="0" w:space="0" w:color="auto"/>
            <w:left w:val="none" w:sz="0" w:space="0" w:color="auto"/>
            <w:bottom w:val="none" w:sz="0" w:space="0" w:color="auto"/>
            <w:right w:val="none" w:sz="0" w:space="0" w:color="auto"/>
          </w:divBdr>
        </w:div>
      </w:divsChild>
    </w:div>
    <w:div w:id="277951038">
      <w:marLeft w:val="0"/>
      <w:marRight w:val="0"/>
      <w:marTop w:val="0"/>
      <w:marBottom w:val="0"/>
      <w:divBdr>
        <w:top w:val="none" w:sz="0" w:space="0" w:color="auto"/>
        <w:left w:val="none" w:sz="0" w:space="0" w:color="auto"/>
        <w:bottom w:val="none" w:sz="0" w:space="0" w:color="auto"/>
        <w:right w:val="none" w:sz="0" w:space="0" w:color="auto"/>
      </w:divBdr>
    </w:div>
    <w:div w:id="277951044">
      <w:marLeft w:val="0"/>
      <w:marRight w:val="0"/>
      <w:marTop w:val="0"/>
      <w:marBottom w:val="0"/>
      <w:divBdr>
        <w:top w:val="none" w:sz="0" w:space="0" w:color="auto"/>
        <w:left w:val="none" w:sz="0" w:space="0" w:color="auto"/>
        <w:bottom w:val="none" w:sz="0" w:space="0" w:color="auto"/>
        <w:right w:val="none" w:sz="0" w:space="0" w:color="auto"/>
      </w:divBdr>
      <w:divsChild>
        <w:div w:id="277951117">
          <w:marLeft w:val="0"/>
          <w:marRight w:val="0"/>
          <w:marTop w:val="0"/>
          <w:marBottom w:val="0"/>
          <w:divBdr>
            <w:top w:val="none" w:sz="0" w:space="0" w:color="auto"/>
            <w:left w:val="none" w:sz="0" w:space="0" w:color="auto"/>
            <w:bottom w:val="none" w:sz="0" w:space="0" w:color="auto"/>
            <w:right w:val="none" w:sz="0" w:space="0" w:color="auto"/>
          </w:divBdr>
        </w:div>
        <w:div w:id="277951222">
          <w:marLeft w:val="0"/>
          <w:marRight w:val="0"/>
          <w:marTop w:val="0"/>
          <w:marBottom w:val="0"/>
          <w:divBdr>
            <w:top w:val="none" w:sz="0" w:space="0" w:color="auto"/>
            <w:left w:val="none" w:sz="0" w:space="0" w:color="auto"/>
            <w:bottom w:val="none" w:sz="0" w:space="0" w:color="auto"/>
            <w:right w:val="none" w:sz="0" w:space="0" w:color="auto"/>
          </w:divBdr>
          <w:divsChild>
            <w:div w:id="2779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053">
      <w:marLeft w:val="0"/>
      <w:marRight w:val="0"/>
      <w:marTop w:val="0"/>
      <w:marBottom w:val="0"/>
      <w:divBdr>
        <w:top w:val="none" w:sz="0" w:space="0" w:color="auto"/>
        <w:left w:val="none" w:sz="0" w:space="0" w:color="auto"/>
        <w:bottom w:val="none" w:sz="0" w:space="0" w:color="auto"/>
        <w:right w:val="none" w:sz="0" w:space="0" w:color="auto"/>
      </w:divBdr>
      <w:divsChild>
        <w:div w:id="277951094">
          <w:marLeft w:val="0"/>
          <w:marRight w:val="0"/>
          <w:marTop w:val="0"/>
          <w:marBottom w:val="0"/>
          <w:divBdr>
            <w:top w:val="none" w:sz="0" w:space="0" w:color="auto"/>
            <w:left w:val="none" w:sz="0" w:space="0" w:color="auto"/>
            <w:bottom w:val="none" w:sz="0" w:space="0" w:color="auto"/>
            <w:right w:val="none" w:sz="0" w:space="0" w:color="auto"/>
          </w:divBdr>
        </w:div>
        <w:div w:id="277951101">
          <w:marLeft w:val="0"/>
          <w:marRight w:val="0"/>
          <w:marTop w:val="0"/>
          <w:marBottom w:val="0"/>
          <w:divBdr>
            <w:top w:val="none" w:sz="0" w:space="0" w:color="auto"/>
            <w:left w:val="none" w:sz="0" w:space="0" w:color="auto"/>
            <w:bottom w:val="none" w:sz="0" w:space="0" w:color="auto"/>
            <w:right w:val="none" w:sz="0" w:space="0" w:color="auto"/>
          </w:divBdr>
        </w:div>
        <w:div w:id="277951157">
          <w:marLeft w:val="0"/>
          <w:marRight w:val="0"/>
          <w:marTop w:val="0"/>
          <w:marBottom w:val="0"/>
          <w:divBdr>
            <w:top w:val="none" w:sz="0" w:space="0" w:color="auto"/>
            <w:left w:val="none" w:sz="0" w:space="0" w:color="auto"/>
            <w:bottom w:val="none" w:sz="0" w:space="0" w:color="auto"/>
            <w:right w:val="none" w:sz="0" w:space="0" w:color="auto"/>
          </w:divBdr>
        </w:div>
        <w:div w:id="277951167">
          <w:marLeft w:val="0"/>
          <w:marRight w:val="0"/>
          <w:marTop w:val="0"/>
          <w:marBottom w:val="0"/>
          <w:divBdr>
            <w:top w:val="none" w:sz="0" w:space="0" w:color="auto"/>
            <w:left w:val="none" w:sz="0" w:space="0" w:color="auto"/>
            <w:bottom w:val="none" w:sz="0" w:space="0" w:color="auto"/>
            <w:right w:val="none" w:sz="0" w:space="0" w:color="auto"/>
          </w:divBdr>
        </w:div>
        <w:div w:id="277951201">
          <w:marLeft w:val="0"/>
          <w:marRight w:val="0"/>
          <w:marTop w:val="0"/>
          <w:marBottom w:val="0"/>
          <w:divBdr>
            <w:top w:val="none" w:sz="0" w:space="0" w:color="auto"/>
            <w:left w:val="none" w:sz="0" w:space="0" w:color="auto"/>
            <w:bottom w:val="none" w:sz="0" w:space="0" w:color="auto"/>
            <w:right w:val="none" w:sz="0" w:space="0" w:color="auto"/>
          </w:divBdr>
        </w:div>
      </w:divsChild>
    </w:div>
    <w:div w:id="277951061">
      <w:marLeft w:val="0"/>
      <w:marRight w:val="0"/>
      <w:marTop w:val="0"/>
      <w:marBottom w:val="0"/>
      <w:divBdr>
        <w:top w:val="none" w:sz="0" w:space="0" w:color="auto"/>
        <w:left w:val="none" w:sz="0" w:space="0" w:color="auto"/>
        <w:bottom w:val="none" w:sz="0" w:space="0" w:color="auto"/>
        <w:right w:val="none" w:sz="0" w:space="0" w:color="auto"/>
      </w:divBdr>
      <w:divsChild>
        <w:div w:id="277951049">
          <w:marLeft w:val="0"/>
          <w:marRight w:val="0"/>
          <w:marTop w:val="0"/>
          <w:marBottom w:val="0"/>
          <w:divBdr>
            <w:top w:val="none" w:sz="0" w:space="0" w:color="auto"/>
            <w:left w:val="none" w:sz="0" w:space="0" w:color="auto"/>
            <w:bottom w:val="none" w:sz="0" w:space="0" w:color="auto"/>
            <w:right w:val="none" w:sz="0" w:space="0" w:color="auto"/>
          </w:divBdr>
        </w:div>
        <w:div w:id="277951055">
          <w:marLeft w:val="0"/>
          <w:marRight w:val="0"/>
          <w:marTop w:val="0"/>
          <w:marBottom w:val="0"/>
          <w:divBdr>
            <w:top w:val="none" w:sz="0" w:space="0" w:color="auto"/>
            <w:left w:val="none" w:sz="0" w:space="0" w:color="auto"/>
            <w:bottom w:val="none" w:sz="0" w:space="0" w:color="auto"/>
            <w:right w:val="none" w:sz="0" w:space="0" w:color="auto"/>
          </w:divBdr>
        </w:div>
        <w:div w:id="277951067">
          <w:marLeft w:val="0"/>
          <w:marRight w:val="0"/>
          <w:marTop w:val="0"/>
          <w:marBottom w:val="0"/>
          <w:divBdr>
            <w:top w:val="none" w:sz="0" w:space="0" w:color="auto"/>
            <w:left w:val="none" w:sz="0" w:space="0" w:color="auto"/>
            <w:bottom w:val="none" w:sz="0" w:space="0" w:color="auto"/>
            <w:right w:val="none" w:sz="0" w:space="0" w:color="auto"/>
          </w:divBdr>
        </w:div>
        <w:div w:id="277951137">
          <w:marLeft w:val="0"/>
          <w:marRight w:val="0"/>
          <w:marTop w:val="0"/>
          <w:marBottom w:val="0"/>
          <w:divBdr>
            <w:top w:val="none" w:sz="0" w:space="0" w:color="auto"/>
            <w:left w:val="none" w:sz="0" w:space="0" w:color="auto"/>
            <w:bottom w:val="none" w:sz="0" w:space="0" w:color="auto"/>
            <w:right w:val="none" w:sz="0" w:space="0" w:color="auto"/>
          </w:divBdr>
        </w:div>
        <w:div w:id="277951144">
          <w:marLeft w:val="0"/>
          <w:marRight w:val="0"/>
          <w:marTop w:val="0"/>
          <w:marBottom w:val="0"/>
          <w:divBdr>
            <w:top w:val="none" w:sz="0" w:space="0" w:color="auto"/>
            <w:left w:val="none" w:sz="0" w:space="0" w:color="auto"/>
            <w:bottom w:val="none" w:sz="0" w:space="0" w:color="auto"/>
            <w:right w:val="none" w:sz="0" w:space="0" w:color="auto"/>
          </w:divBdr>
        </w:div>
        <w:div w:id="277951175">
          <w:marLeft w:val="0"/>
          <w:marRight w:val="0"/>
          <w:marTop w:val="0"/>
          <w:marBottom w:val="0"/>
          <w:divBdr>
            <w:top w:val="none" w:sz="0" w:space="0" w:color="auto"/>
            <w:left w:val="none" w:sz="0" w:space="0" w:color="auto"/>
            <w:bottom w:val="none" w:sz="0" w:space="0" w:color="auto"/>
            <w:right w:val="none" w:sz="0" w:space="0" w:color="auto"/>
          </w:divBdr>
        </w:div>
        <w:div w:id="277951177">
          <w:marLeft w:val="0"/>
          <w:marRight w:val="0"/>
          <w:marTop w:val="0"/>
          <w:marBottom w:val="0"/>
          <w:divBdr>
            <w:top w:val="none" w:sz="0" w:space="0" w:color="auto"/>
            <w:left w:val="none" w:sz="0" w:space="0" w:color="auto"/>
            <w:bottom w:val="none" w:sz="0" w:space="0" w:color="auto"/>
            <w:right w:val="none" w:sz="0" w:space="0" w:color="auto"/>
          </w:divBdr>
        </w:div>
      </w:divsChild>
    </w:div>
    <w:div w:id="277951071">
      <w:marLeft w:val="0"/>
      <w:marRight w:val="0"/>
      <w:marTop w:val="0"/>
      <w:marBottom w:val="0"/>
      <w:divBdr>
        <w:top w:val="none" w:sz="0" w:space="0" w:color="auto"/>
        <w:left w:val="none" w:sz="0" w:space="0" w:color="auto"/>
        <w:bottom w:val="none" w:sz="0" w:space="0" w:color="auto"/>
        <w:right w:val="none" w:sz="0" w:space="0" w:color="auto"/>
      </w:divBdr>
      <w:divsChild>
        <w:div w:id="277951062">
          <w:marLeft w:val="0"/>
          <w:marRight w:val="0"/>
          <w:marTop w:val="0"/>
          <w:marBottom w:val="0"/>
          <w:divBdr>
            <w:top w:val="none" w:sz="0" w:space="0" w:color="auto"/>
            <w:left w:val="none" w:sz="0" w:space="0" w:color="auto"/>
            <w:bottom w:val="none" w:sz="0" w:space="0" w:color="auto"/>
            <w:right w:val="none" w:sz="0" w:space="0" w:color="auto"/>
          </w:divBdr>
        </w:div>
        <w:div w:id="277951064">
          <w:marLeft w:val="0"/>
          <w:marRight w:val="0"/>
          <w:marTop w:val="0"/>
          <w:marBottom w:val="0"/>
          <w:divBdr>
            <w:top w:val="none" w:sz="0" w:space="0" w:color="auto"/>
            <w:left w:val="none" w:sz="0" w:space="0" w:color="auto"/>
            <w:bottom w:val="none" w:sz="0" w:space="0" w:color="auto"/>
            <w:right w:val="none" w:sz="0" w:space="0" w:color="auto"/>
          </w:divBdr>
        </w:div>
        <w:div w:id="277951118">
          <w:marLeft w:val="0"/>
          <w:marRight w:val="0"/>
          <w:marTop w:val="0"/>
          <w:marBottom w:val="0"/>
          <w:divBdr>
            <w:top w:val="none" w:sz="0" w:space="0" w:color="auto"/>
            <w:left w:val="none" w:sz="0" w:space="0" w:color="auto"/>
            <w:bottom w:val="none" w:sz="0" w:space="0" w:color="auto"/>
            <w:right w:val="none" w:sz="0" w:space="0" w:color="auto"/>
          </w:divBdr>
        </w:div>
        <w:div w:id="277951134">
          <w:marLeft w:val="0"/>
          <w:marRight w:val="0"/>
          <w:marTop w:val="0"/>
          <w:marBottom w:val="0"/>
          <w:divBdr>
            <w:top w:val="none" w:sz="0" w:space="0" w:color="auto"/>
            <w:left w:val="none" w:sz="0" w:space="0" w:color="auto"/>
            <w:bottom w:val="none" w:sz="0" w:space="0" w:color="auto"/>
            <w:right w:val="none" w:sz="0" w:space="0" w:color="auto"/>
          </w:divBdr>
        </w:div>
        <w:div w:id="277951204">
          <w:marLeft w:val="0"/>
          <w:marRight w:val="0"/>
          <w:marTop w:val="0"/>
          <w:marBottom w:val="0"/>
          <w:divBdr>
            <w:top w:val="none" w:sz="0" w:space="0" w:color="auto"/>
            <w:left w:val="none" w:sz="0" w:space="0" w:color="auto"/>
            <w:bottom w:val="none" w:sz="0" w:space="0" w:color="auto"/>
            <w:right w:val="none" w:sz="0" w:space="0" w:color="auto"/>
          </w:divBdr>
        </w:div>
      </w:divsChild>
    </w:div>
    <w:div w:id="277951102">
      <w:marLeft w:val="0"/>
      <w:marRight w:val="0"/>
      <w:marTop w:val="0"/>
      <w:marBottom w:val="0"/>
      <w:divBdr>
        <w:top w:val="none" w:sz="0" w:space="0" w:color="auto"/>
        <w:left w:val="none" w:sz="0" w:space="0" w:color="auto"/>
        <w:bottom w:val="none" w:sz="0" w:space="0" w:color="auto"/>
        <w:right w:val="none" w:sz="0" w:space="0" w:color="auto"/>
      </w:divBdr>
      <w:divsChild>
        <w:div w:id="277951046">
          <w:marLeft w:val="0"/>
          <w:marRight w:val="0"/>
          <w:marTop w:val="150"/>
          <w:marBottom w:val="150"/>
          <w:divBdr>
            <w:top w:val="none" w:sz="0" w:space="0" w:color="auto"/>
            <w:left w:val="none" w:sz="0" w:space="0" w:color="auto"/>
            <w:bottom w:val="none" w:sz="0" w:space="0" w:color="auto"/>
            <w:right w:val="none" w:sz="0" w:space="0" w:color="auto"/>
          </w:divBdr>
          <w:divsChild>
            <w:div w:id="277951042">
              <w:marLeft w:val="0"/>
              <w:marRight w:val="0"/>
              <w:marTop w:val="0"/>
              <w:marBottom w:val="0"/>
              <w:divBdr>
                <w:top w:val="none" w:sz="0" w:space="0" w:color="auto"/>
                <w:left w:val="none" w:sz="0" w:space="0" w:color="auto"/>
                <w:bottom w:val="none" w:sz="0" w:space="0" w:color="auto"/>
                <w:right w:val="none" w:sz="0" w:space="0" w:color="auto"/>
              </w:divBdr>
            </w:div>
            <w:div w:id="277951079">
              <w:marLeft w:val="0"/>
              <w:marRight w:val="0"/>
              <w:marTop w:val="0"/>
              <w:marBottom w:val="0"/>
              <w:divBdr>
                <w:top w:val="none" w:sz="0" w:space="0" w:color="auto"/>
                <w:left w:val="none" w:sz="0" w:space="0" w:color="auto"/>
                <w:bottom w:val="none" w:sz="0" w:space="0" w:color="auto"/>
                <w:right w:val="none" w:sz="0" w:space="0" w:color="auto"/>
              </w:divBdr>
            </w:div>
            <w:div w:id="277951081">
              <w:marLeft w:val="0"/>
              <w:marRight w:val="0"/>
              <w:marTop w:val="0"/>
              <w:marBottom w:val="0"/>
              <w:divBdr>
                <w:top w:val="none" w:sz="0" w:space="0" w:color="auto"/>
                <w:left w:val="none" w:sz="0" w:space="0" w:color="auto"/>
                <w:bottom w:val="none" w:sz="0" w:space="0" w:color="auto"/>
                <w:right w:val="none" w:sz="0" w:space="0" w:color="auto"/>
              </w:divBdr>
            </w:div>
            <w:div w:id="277951100">
              <w:marLeft w:val="0"/>
              <w:marRight w:val="0"/>
              <w:marTop w:val="0"/>
              <w:marBottom w:val="0"/>
              <w:divBdr>
                <w:top w:val="none" w:sz="0" w:space="0" w:color="auto"/>
                <w:left w:val="none" w:sz="0" w:space="0" w:color="auto"/>
                <w:bottom w:val="none" w:sz="0" w:space="0" w:color="auto"/>
                <w:right w:val="none" w:sz="0" w:space="0" w:color="auto"/>
              </w:divBdr>
            </w:div>
            <w:div w:id="277951182">
              <w:marLeft w:val="0"/>
              <w:marRight w:val="0"/>
              <w:marTop w:val="0"/>
              <w:marBottom w:val="0"/>
              <w:divBdr>
                <w:top w:val="none" w:sz="0" w:space="0" w:color="auto"/>
                <w:left w:val="none" w:sz="0" w:space="0" w:color="auto"/>
                <w:bottom w:val="none" w:sz="0" w:space="0" w:color="auto"/>
                <w:right w:val="none" w:sz="0" w:space="0" w:color="auto"/>
              </w:divBdr>
            </w:div>
            <w:div w:id="277951192">
              <w:marLeft w:val="0"/>
              <w:marRight w:val="0"/>
              <w:marTop w:val="0"/>
              <w:marBottom w:val="0"/>
              <w:divBdr>
                <w:top w:val="none" w:sz="0" w:space="0" w:color="auto"/>
                <w:left w:val="none" w:sz="0" w:space="0" w:color="auto"/>
                <w:bottom w:val="none" w:sz="0" w:space="0" w:color="auto"/>
                <w:right w:val="none" w:sz="0" w:space="0" w:color="auto"/>
              </w:divBdr>
            </w:div>
          </w:divsChild>
        </w:div>
        <w:div w:id="277951178">
          <w:marLeft w:val="0"/>
          <w:marRight w:val="0"/>
          <w:marTop w:val="0"/>
          <w:marBottom w:val="0"/>
          <w:divBdr>
            <w:top w:val="none" w:sz="0" w:space="0" w:color="auto"/>
            <w:left w:val="none" w:sz="0" w:space="0" w:color="auto"/>
            <w:bottom w:val="none" w:sz="0" w:space="0" w:color="auto"/>
            <w:right w:val="none" w:sz="0" w:space="0" w:color="auto"/>
          </w:divBdr>
          <w:divsChild>
            <w:div w:id="277951075">
              <w:marLeft w:val="0"/>
              <w:marRight w:val="0"/>
              <w:marTop w:val="0"/>
              <w:marBottom w:val="0"/>
              <w:divBdr>
                <w:top w:val="none" w:sz="0" w:space="0" w:color="auto"/>
                <w:left w:val="none" w:sz="0" w:space="0" w:color="auto"/>
                <w:bottom w:val="none" w:sz="0" w:space="0" w:color="auto"/>
                <w:right w:val="none" w:sz="0" w:space="0" w:color="auto"/>
              </w:divBdr>
              <w:divsChild>
                <w:div w:id="277951060">
                  <w:marLeft w:val="1085"/>
                  <w:marRight w:val="0"/>
                  <w:marTop w:val="0"/>
                  <w:marBottom w:val="0"/>
                  <w:divBdr>
                    <w:top w:val="none" w:sz="0" w:space="0" w:color="auto"/>
                    <w:left w:val="none" w:sz="0" w:space="0" w:color="auto"/>
                    <w:bottom w:val="none" w:sz="0" w:space="0" w:color="auto"/>
                    <w:right w:val="none" w:sz="0" w:space="0" w:color="auto"/>
                  </w:divBdr>
                </w:div>
              </w:divsChild>
            </w:div>
            <w:div w:id="277951092">
              <w:marLeft w:val="0"/>
              <w:marRight w:val="0"/>
              <w:marTop w:val="0"/>
              <w:marBottom w:val="0"/>
              <w:divBdr>
                <w:top w:val="none" w:sz="0" w:space="0" w:color="auto"/>
                <w:left w:val="none" w:sz="0" w:space="0" w:color="auto"/>
                <w:bottom w:val="none" w:sz="0" w:space="0" w:color="auto"/>
                <w:right w:val="none" w:sz="0" w:space="0" w:color="auto"/>
              </w:divBdr>
              <w:divsChild>
                <w:div w:id="277951165">
                  <w:marLeft w:val="1085"/>
                  <w:marRight w:val="0"/>
                  <w:marTop w:val="0"/>
                  <w:marBottom w:val="0"/>
                  <w:divBdr>
                    <w:top w:val="none" w:sz="0" w:space="0" w:color="auto"/>
                    <w:left w:val="none" w:sz="0" w:space="0" w:color="auto"/>
                    <w:bottom w:val="none" w:sz="0" w:space="0" w:color="auto"/>
                    <w:right w:val="none" w:sz="0" w:space="0" w:color="auto"/>
                  </w:divBdr>
                </w:div>
              </w:divsChild>
            </w:div>
            <w:div w:id="277951113">
              <w:marLeft w:val="0"/>
              <w:marRight w:val="0"/>
              <w:marTop w:val="0"/>
              <w:marBottom w:val="0"/>
              <w:divBdr>
                <w:top w:val="none" w:sz="0" w:space="0" w:color="auto"/>
                <w:left w:val="none" w:sz="0" w:space="0" w:color="auto"/>
                <w:bottom w:val="none" w:sz="0" w:space="0" w:color="auto"/>
                <w:right w:val="none" w:sz="0" w:space="0" w:color="auto"/>
              </w:divBdr>
              <w:divsChild>
                <w:div w:id="277951198">
                  <w:marLeft w:val="1085"/>
                  <w:marRight w:val="0"/>
                  <w:marTop w:val="0"/>
                  <w:marBottom w:val="0"/>
                  <w:divBdr>
                    <w:top w:val="none" w:sz="0" w:space="0" w:color="auto"/>
                    <w:left w:val="none" w:sz="0" w:space="0" w:color="auto"/>
                    <w:bottom w:val="none" w:sz="0" w:space="0" w:color="auto"/>
                    <w:right w:val="none" w:sz="0" w:space="0" w:color="auto"/>
                  </w:divBdr>
                </w:div>
              </w:divsChild>
            </w:div>
            <w:div w:id="277951122">
              <w:marLeft w:val="0"/>
              <w:marRight w:val="0"/>
              <w:marTop w:val="0"/>
              <w:marBottom w:val="0"/>
              <w:divBdr>
                <w:top w:val="none" w:sz="0" w:space="0" w:color="auto"/>
                <w:left w:val="none" w:sz="0" w:space="0" w:color="auto"/>
                <w:bottom w:val="none" w:sz="0" w:space="0" w:color="auto"/>
                <w:right w:val="none" w:sz="0" w:space="0" w:color="auto"/>
              </w:divBdr>
              <w:divsChild>
                <w:div w:id="277951119">
                  <w:marLeft w:val="1085"/>
                  <w:marRight w:val="0"/>
                  <w:marTop w:val="0"/>
                  <w:marBottom w:val="0"/>
                  <w:divBdr>
                    <w:top w:val="none" w:sz="0" w:space="0" w:color="auto"/>
                    <w:left w:val="none" w:sz="0" w:space="0" w:color="auto"/>
                    <w:bottom w:val="none" w:sz="0" w:space="0" w:color="auto"/>
                    <w:right w:val="none" w:sz="0" w:space="0" w:color="auto"/>
                  </w:divBdr>
                </w:div>
              </w:divsChild>
            </w:div>
            <w:div w:id="277951128">
              <w:marLeft w:val="0"/>
              <w:marRight w:val="0"/>
              <w:marTop w:val="0"/>
              <w:marBottom w:val="0"/>
              <w:divBdr>
                <w:top w:val="none" w:sz="0" w:space="0" w:color="auto"/>
                <w:left w:val="none" w:sz="0" w:space="0" w:color="auto"/>
                <w:bottom w:val="none" w:sz="0" w:space="0" w:color="auto"/>
                <w:right w:val="none" w:sz="0" w:space="0" w:color="auto"/>
              </w:divBdr>
              <w:divsChild>
                <w:div w:id="277951145">
                  <w:marLeft w:val="1085"/>
                  <w:marRight w:val="0"/>
                  <w:marTop w:val="0"/>
                  <w:marBottom w:val="0"/>
                  <w:divBdr>
                    <w:top w:val="none" w:sz="0" w:space="0" w:color="auto"/>
                    <w:left w:val="none" w:sz="0" w:space="0" w:color="auto"/>
                    <w:bottom w:val="none" w:sz="0" w:space="0" w:color="auto"/>
                    <w:right w:val="none" w:sz="0" w:space="0" w:color="auto"/>
                  </w:divBdr>
                </w:div>
              </w:divsChild>
            </w:div>
            <w:div w:id="277951141">
              <w:marLeft w:val="0"/>
              <w:marRight w:val="0"/>
              <w:marTop w:val="0"/>
              <w:marBottom w:val="0"/>
              <w:divBdr>
                <w:top w:val="none" w:sz="0" w:space="0" w:color="auto"/>
                <w:left w:val="none" w:sz="0" w:space="0" w:color="auto"/>
                <w:bottom w:val="none" w:sz="0" w:space="0" w:color="auto"/>
                <w:right w:val="none" w:sz="0" w:space="0" w:color="auto"/>
              </w:divBdr>
              <w:divsChild>
                <w:div w:id="277951058">
                  <w:marLeft w:val="1085"/>
                  <w:marRight w:val="0"/>
                  <w:marTop w:val="0"/>
                  <w:marBottom w:val="0"/>
                  <w:divBdr>
                    <w:top w:val="none" w:sz="0" w:space="0" w:color="auto"/>
                    <w:left w:val="none" w:sz="0" w:space="0" w:color="auto"/>
                    <w:bottom w:val="none" w:sz="0" w:space="0" w:color="auto"/>
                    <w:right w:val="none" w:sz="0" w:space="0" w:color="auto"/>
                  </w:divBdr>
                  <w:divsChild>
                    <w:div w:id="277951093">
                      <w:marLeft w:val="0"/>
                      <w:marRight w:val="0"/>
                      <w:marTop w:val="0"/>
                      <w:marBottom w:val="240"/>
                      <w:divBdr>
                        <w:top w:val="none" w:sz="0" w:space="0" w:color="auto"/>
                        <w:left w:val="none" w:sz="0" w:space="0" w:color="auto"/>
                        <w:bottom w:val="none" w:sz="0" w:space="0" w:color="auto"/>
                        <w:right w:val="none" w:sz="0" w:space="0" w:color="auto"/>
                      </w:divBdr>
                    </w:div>
                    <w:div w:id="277951146">
                      <w:marLeft w:val="0"/>
                      <w:marRight w:val="0"/>
                      <w:marTop w:val="0"/>
                      <w:marBottom w:val="0"/>
                      <w:divBdr>
                        <w:top w:val="none" w:sz="0" w:space="0" w:color="auto"/>
                        <w:left w:val="none" w:sz="0" w:space="0" w:color="auto"/>
                        <w:bottom w:val="none" w:sz="0" w:space="0" w:color="auto"/>
                        <w:right w:val="none" w:sz="0" w:space="0" w:color="auto"/>
                      </w:divBdr>
                      <w:divsChild>
                        <w:div w:id="277951136">
                          <w:marLeft w:val="0"/>
                          <w:marRight w:val="0"/>
                          <w:marTop w:val="0"/>
                          <w:marBottom w:val="0"/>
                          <w:divBdr>
                            <w:top w:val="single" w:sz="4" w:space="0" w:color="777777"/>
                            <w:left w:val="none" w:sz="0" w:space="0" w:color="auto"/>
                            <w:bottom w:val="none" w:sz="0" w:space="0" w:color="auto"/>
                            <w:right w:val="none" w:sz="0" w:space="0" w:color="auto"/>
                          </w:divBdr>
                        </w:div>
                        <w:div w:id="2779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147">
              <w:marLeft w:val="0"/>
              <w:marRight w:val="0"/>
              <w:marTop w:val="0"/>
              <w:marBottom w:val="0"/>
              <w:divBdr>
                <w:top w:val="none" w:sz="0" w:space="0" w:color="auto"/>
                <w:left w:val="none" w:sz="0" w:space="0" w:color="auto"/>
                <w:bottom w:val="none" w:sz="0" w:space="0" w:color="auto"/>
                <w:right w:val="none" w:sz="0" w:space="0" w:color="auto"/>
              </w:divBdr>
              <w:divsChild>
                <w:div w:id="277951220">
                  <w:marLeft w:val="1085"/>
                  <w:marRight w:val="0"/>
                  <w:marTop w:val="0"/>
                  <w:marBottom w:val="0"/>
                  <w:divBdr>
                    <w:top w:val="none" w:sz="0" w:space="0" w:color="auto"/>
                    <w:left w:val="none" w:sz="0" w:space="0" w:color="auto"/>
                    <w:bottom w:val="none" w:sz="0" w:space="0" w:color="auto"/>
                    <w:right w:val="none" w:sz="0" w:space="0" w:color="auto"/>
                  </w:divBdr>
                  <w:divsChild>
                    <w:div w:id="277951202">
                      <w:marLeft w:val="0"/>
                      <w:marRight w:val="0"/>
                      <w:marTop w:val="0"/>
                      <w:marBottom w:val="240"/>
                      <w:divBdr>
                        <w:top w:val="none" w:sz="0" w:space="0" w:color="auto"/>
                        <w:left w:val="none" w:sz="0" w:space="0" w:color="auto"/>
                        <w:bottom w:val="none" w:sz="0" w:space="0" w:color="auto"/>
                        <w:right w:val="none" w:sz="0" w:space="0" w:color="auto"/>
                      </w:divBdr>
                      <w:divsChild>
                        <w:div w:id="277951068">
                          <w:marLeft w:val="0"/>
                          <w:marRight w:val="0"/>
                          <w:marTop w:val="0"/>
                          <w:marBottom w:val="0"/>
                          <w:divBdr>
                            <w:top w:val="none" w:sz="0" w:space="0" w:color="auto"/>
                            <w:left w:val="none" w:sz="0" w:space="0" w:color="auto"/>
                            <w:bottom w:val="none" w:sz="0" w:space="0" w:color="auto"/>
                            <w:right w:val="none" w:sz="0" w:space="0" w:color="auto"/>
                          </w:divBdr>
                        </w:div>
                        <w:div w:id="277951070">
                          <w:marLeft w:val="0"/>
                          <w:marRight w:val="0"/>
                          <w:marTop w:val="0"/>
                          <w:marBottom w:val="0"/>
                          <w:divBdr>
                            <w:top w:val="none" w:sz="0" w:space="0" w:color="auto"/>
                            <w:left w:val="none" w:sz="0" w:space="0" w:color="auto"/>
                            <w:bottom w:val="none" w:sz="0" w:space="0" w:color="auto"/>
                            <w:right w:val="none" w:sz="0" w:space="0" w:color="auto"/>
                          </w:divBdr>
                        </w:div>
                        <w:div w:id="2779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153">
              <w:marLeft w:val="0"/>
              <w:marRight w:val="0"/>
              <w:marTop w:val="0"/>
              <w:marBottom w:val="0"/>
              <w:divBdr>
                <w:top w:val="none" w:sz="0" w:space="0" w:color="auto"/>
                <w:left w:val="none" w:sz="0" w:space="0" w:color="auto"/>
                <w:bottom w:val="none" w:sz="0" w:space="0" w:color="auto"/>
                <w:right w:val="none" w:sz="0" w:space="0" w:color="auto"/>
              </w:divBdr>
              <w:divsChild>
                <w:div w:id="277951096">
                  <w:marLeft w:val="1085"/>
                  <w:marRight w:val="0"/>
                  <w:marTop w:val="0"/>
                  <w:marBottom w:val="0"/>
                  <w:divBdr>
                    <w:top w:val="none" w:sz="0" w:space="0" w:color="auto"/>
                    <w:left w:val="none" w:sz="0" w:space="0" w:color="auto"/>
                    <w:bottom w:val="none" w:sz="0" w:space="0" w:color="auto"/>
                    <w:right w:val="none" w:sz="0" w:space="0" w:color="auto"/>
                  </w:divBdr>
                </w:div>
              </w:divsChild>
            </w:div>
            <w:div w:id="277951168">
              <w:marLeft w:val="0"/>
              <w:marRight w:val="0"/>
              <w:marTop w:val="0"/>
              <w:marBottom w:val="0"/>
              <w:divBdr>
                <w:top w:val="none" w:sz="0" w:space="0" w:color="auto"/>
                <w:left w:val="none" w:sz="0" w:space="0" w:color="auto"/>
                <w:bottom w:val="none" w:sz="0" w:space="0" w:color="auto"/>
                <w:right w:val="none" w:sz="0" w:space="0" w:color="auto"/>
              </w:divBdr>
              <w:divsChild>
                <w:div w:id="277951151">
                  <w:marLeft w:val="1085"/>
                  <w:marRight w:val="0"/>
                  <w:marTop w:val="0"/>
                  <w:marBottom w:val="0"/>
                  <w:divBdr>
                    <w:top w:val="none" w:sz="0" w:space="0" w:color="auto"/>
                    <w:left w:val="none" w:sz="0" w:space="0" w:color="auto"/>
                    <w:bottom w:val="none" w:sz="0" w:space="0" w:color="auto"/>
                    <w:right w:val="none" w:sz="0" w:space="0" w:color="auto"/>
                  </w:divBdr>
                </w:div>
              </w:divsChild>
            </w:div>
            <w:div w:id="277951212">
              <w:marLeft w:val="0"/>
              <w:marRight w:val="0"/>
              <w:marTop w:val="0"/>
              <w:marBottom w:val="0"/>
              <w:divBdr>
                <w:top w:val="none" w:sz="0" w:space="0" w:color="auto"/>
                <w:left w:val="none" w:sz="0" w:space="0" w:color="auto"/>
                <w:bottom w:val="none" w:sz="0" w:space="0" w:color="auto"/>
                <w:right w:val="none" w:sz="0" w:space="0" w:color="auto"/>
              </w:divBdr>
              <w:divsChild>
                <w:div w:id="277951170">
                  <w:marLeft w:val="10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106">
      <w:marLeft w:val="0"/>
      <w:marRight w:val="0"/>
      <w:marTop w:val="0"/>
      <w:marBottom w:val="0"/>
      <w:divBdr>
        <w:top w:val="none" w:sz="0" w:space="0" w:color="auto"/>
        <w:left w:val="none" w:sz="0" w:space="0" w:color="auto"/>
        <w:bottom w:val="none" w:sz="0" w:space="0" w:color="auto"/>
        <w:right w:val="none" w:sz="0" w:space="0" w:color="auto"/>
      </w:divBdr>
      <w:divsChild>
        <w:div w:id="277951043">
          <w:marLeft w:val="0"/>
          <w:marRight w:val="0"/>
          <w:marTop w:val="0"/>
          <w:marBottom w:val="0"/>
          <w:divBdr>
            <w:top w:val="none" w:sz="0" w:space="0" w:color="auto"/>
            <w:left w:val="none" w:sz="0" w:space="0" w:color="auto"/>
            <w:bottom w:val="none" w:sz="0" w:space="0" w:color="auto"/>
            <w:right w:val="none" w:sz="0" w:space="0" w:color="auto"/>
          </w:divBdr>
        </w:div>
        <w:div w:id="277951048">
          <w:marLeft w:val="0"/>
          <w:marRight w:val="0"/>
          <w:marTop w:val="0"/>
          <w:marBottom w:val="0"/>
          <w:divBdr>
            <w:top w:val="none" w:sz="0" w:space="0" w:color="auto"/>
            <w:left w:val="none" w:sz="0" w:space="0" w:color="auto"/>
            <w:bottom w:val="none" w:sz="0" w:space="0" w:color="auto"/>
            <w:right w:val="none" w:sz="0" w:space="0" w:color="auto"/>
          </w:divBdr>
        </w:div>
        <w:div w:id="277951050">
          <w:marLeft w:val="0"/>
          <w:marRight w:val="0"/>
          <w:marTop w:val="0"/>
          <w:marBottom w:val="0"/>
          <w:divBdr>
            <w:top w:val="none" w:sz="0" w:space="0" w:color="auto"/>
            <w:left w:val="none" w:sz="0" w:space="0" w:color="auto"/>
            <w:bottom w:val="none" w:sz="0" w:space="0" w:color="auto"/>
            <w:right w:val="none" w:sz="0" w:space="0" w:color="auto"/>
          </w:divBdr>
        </w:div>
        <w:div w:id="277951063">
          <w:marLeft w:val="0"/>
          <w:marRight w:val="0"/>
          <w:marTop w:val="0"/>
          <w:marBottom w:val="0"/>
          <w:divBdr>
            <w:top w:val="none" w:sz="0" w:space="0" w:color="auto"/>
            <w:left w:val="none" w:sz="0" w:space="0" w:color="auto"/>
            <w:bottom w:val="none" w:sz="0" w:space="0" w:color="auto"/>
            <w:right w:val="none" w:sz="0" w:space="0" w:color="auto"/>
          </w:divBdr>
        </w:div>
        <w:div w:id="277951077">
          <w:marLeft w:val="0"/>
          <w:marRight w:val="0"/>
          <w:marTop w:val="0"/>
          <w:marBottom w:val="0"/>
          <w:divBdr>
            <w:top w:val="none" w:sz="0" w:space="0" w:color="auto"/>
            <w:left w:val="none" w:sz="0" w:space="0" w:color="auto"/>
            <w:bottom w:val="none" w:sz="0" w:space="0" w:color="auto"/>
            <w:right w:val="none" w:sz="0" w:space="0" w:color="auto"/>
          </w:divBdr>
        </w:div>
        <w:div w:id="277951159">
          <w:marLeft w:val="0"/>
          <w:marRight w:val="0"/>
          <w:marTop w:val="0"/>
          <w:marBottom w:val="0"/>
          <w:divBdr>
            <w:top w:val="none" w:sz="0" w:space="0" w:color="auto"/>
            <w:left w:val="none" w:sz="0" w:space="0" w:color="auto"/>
            <w:bottom w:val="none" w:sz="0" w:space="0" w:color="auto"/>
            <w:right w:val="none" w:sz="0" w:space="0" w:color="auto"/>
          </w:divBdr>
        </w:div>
        <w:div w:id="277951195">
          <w:marLeft w:val="0"/>
          <w:marRight w:val="0"/>
          <w:marTop w:val="0"/>
          <w:marBottom w:val="0"/>
          <w:divBdr>
            <w:top w:val="none" w:sz="0" w:space="0" w:color="auto"/>
            <w:left w:val="none" w:sz="0" w:space="0" w:color="auto"/>
            <w:bottom w:val="none" w:sz="0" w:space="0" w:color="auto"/>
            <w:right w:val="none" w:sz="0" w:space="0" w:color="auto"/>
          </w:divBdr>
        </w:div>
      </w:divsChild>
    </w:div>
    <w:div w:id="277951107">
      <w:marLeft w:val="0"/>
      <w:marRight w:val="0"/>
      <w:marTop w:val="0"/>
      <w:marBottom w:val="0"/>
      <w:divBdr>
        <w:top w:val="none" w:sz="0" w:space="0" w:color="auto"/>
        <w:left w:val="none" w:sz="0" w:space="0" w:color="auto"/>
        <w:bottom w:val="none" w:sz="0" w:space="0" w:color="auto"/>
        <w:right w:val="none" w:sz="0" w:space="0" w:color="auto"/>
      </w:divBdr>
    </w:div>
    <w:div w:id="277951121">
      <w:marLeft w:val="0"/>
      <w:marRight w:val="0"/>
      <w:marTop w:val="0"/>
      <w:marBottom w:val="0"/>
      <w:divBdr>
        <w:top w:val="none" w:sz="0" w:space="0" w:color="auto"/>
        <w:left w:val="none" w:sz="0" w:space="0" w:color="auto"/>
        <w:bottom w:val="none" w:sz="0" w:space="0" w:color="auto"/>
        <w:right w:val="none" w:sz="0" w:space="0" w:color="auto"/>
      </w:divBdr>
      <w:divsChild>
        <w:div w:id="277951059">
          <w:marLeft w:val="0"/>
          <w:marRight w:val="1"/>
          <w:marTop w:val="0"/>
          <w:marBottom w:val="0"/>
          <w:divBdr>
            <w:top w:val="none" w:sz="0" w:space="0" w:color="auto"/>
            <w:left w:val="none" w:sz="0" w:space="0" w:color="auto"/>
            <w:bottom w:val="none" w:sz="0" w:space="0" w:color="auto"/>
            <w:right w:val="none" w:sz="0" w:space="0" w:color="auto"/>
          </w:divBdr>
          <w:divsChild>
            <w:div w:id="277951223">
              <w:marLeft w:val="0"/>
              <w:marRight w:val="0"/>
              <w:marTop w:val="0"/>
              <w:marBottom w:val="0"/>
              <w:divBdr>
                <w:top w:val="none" w:sz="0" w:space="0" w:color="auto"/>
                <w:left w:val="none" w:sz="0" w:space="0" w:color="auto"/>
                <w:bottom w:val="none" w:sz="0" w:space="0" w:color="auto"/>
                <w:right w:val="none" w:sz="0" w:space="0" w:color="auto"/>
              </w:divBdr>
              <w:divsChild>
                <w:div w:id="277951163">
                  <w:marLeft w:val="0"/>
                  <w:marRight w:val="1"/>
                  <w:marTop w:val="0"/>
                  <w:marBottom w:val="0"/>
                  <w:divBdr>
                    <w:top w:val="none" w:sz="0" w:space="0" w:color="auto"/>
                    <w:left w:val="none" w:sz="0" w:space="0" w:color="auto"/>
                    <w:bottom w:val="none" w:sz="0" w:space="0" w:color="auto"/>
                    <w:right w:val="none" w:sz="0" w:space="0" w:color="auto"/>
                  </w:divBdr>
                  <w:divsChild>
                    <w:div w:id="277951097">
                      <w:marLeft w:val="0"/>
                      <w:marRight w:val="0"/>
                      <w:marTop w:val="0"/>
                      <w:marBottom w:val="0"/>
                      <w:divBdr>
                        <w:top w:val="none" w:sz="0" w:space="0" w:color="auto"/>
                        <w:left w:val="none" w:sz="0" w:space="0" w:color="auto"/>
                        <w:bottom w:val="none" w:sz="0" w:space="0" w:color="auto"/>
                        <w:right w:val="none" w:sz="0" w:space="0" w:color="auto"/>
                      </w:divBdr>
                      <w:divsChild>
                        <w:div w:id="277951073">
                          <w:marLeft w:val="0"/>
                          <w:marRight w:val="0"/>
                          <w:marTop w:val="0"/>
                          <w:marBottom w:val="0"/>
                          <w:divBdr>
                            <w:top w:val="none" w:sz="0" w:space="0" w:color="auto"/>
                            <w:left w:val="none" w:sz="0" w:space="0" w:color="auto"/>
                            <w:bottom w:val="none" w:sz="0" w:space="0" w:color="auto"/>
                            <w:right w:val="none" w:sz="0" w:space="0" w:color="auto"/>
                          </w:divBdr>
                          <w:divsChild>
                            <w:div w:id="277951129">
                              <w:marLeft w:val="0"/>
                              <w:marRight w:val="0"/>
                              <w:marTop w:val="120"/>
                              <w:marBottom w:val="360"/>
                              <w:divBdr>
                                <w:top w:val="none" w:sz="0" w:space="0" w:color="auto"/>
                                <w:left w:val="none" w:sz="0" w:space="0" w:color="auto"/>
                                <w:bottom w:val="none" w:sz="0" w:space="0" w:color="auto"/>
                                <w:right w:val="none" w:sz="0" w:space="0" w:color="auto"/>
                              </w:divBdr>
                              <w:divsChild>
                                <w:div w:id="277951052">
                                  <w:marLeft w:val="0"/>
                                  <w:marRight w:val="0"/>
                                  <w:marTop w:val="0"/>
                                  <w:marBottom w:val="0"/>
                                  <w:divBdr>
                                    <w:top w:val="none" w:sz="0" w:space="0" w:color="auto"/>
                                    <w:left w:val="none" w:sz="0" w:space="0" w:color="auto"/>
                                    <w:bottom w:val="none" w:sz="0" w:space="0" w:color="auto"/>
                                    <w:right w:val="none" w:sz="0" w:space="0" w:color="auto"/>
                                  </w:divBdr>
                                </w:div>
                                <w:div w:id="277951069">
                                  <w:marLeft w:val="0"/>
                                  <w:marRight w:val="0"/>
                                  <w:marTop w:val="0"/>
                                  <w:marBottom w:val="0"/>
                                  <w:divBdr>
                                    <w:top w:val="none" w:sz="0" w:space="0" w:color="auto"/>
                                    <w:left w:val="none" w:sz="0" w:space="0" w:color="auto"/>
                                    <w:bottom w:val="none" w:sz="0" w:space="0" w:color="auto"/>
                                    <w:right w:val="none" w:sz="0" w:space="0" w:color="auto"/>
                                  </w:divBdr>
                                </w:div>
                                <w:div w:id="277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142">
                          <w:marLeft w:val="0"/>
                          <w:marRight w:val="0"/>
                          <w:marTop w:val="0"/>
                          <w:marBottom w:val="0"/>
                          <w:divBdr>
                            <w:top w:val="none" w:sz="0" w:space="0" w:color="auto"/>
                            <w:left w:val="none" w:sz="0" w:space="0" w:color="auto"/>
                            <w:bottom w:val="none" w:sz="0" w:space="0" w:color="auto"/>
                            <w:right w:val="none" w:sz="0" w:space="0" w:color="auto"/>
                          </w:divBdr>
                          <w:divsChild>
                            <w:div w:id="2779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1125">
      <w:marLeft w:val="0"/>
      <w:marRight w:val="0"/>
      <w:marTop w:val="0"/>
      <w:marBottom w:val="0"/>
      <w:divBdr>
        <w:top w:val="none" w:sz="0" w:space="0" w:color="auto"/>
        <w:left w:val="none" w:sz="0" w:space="0" w:color="auto"/>
        <w:bottom w:val="none" w:sz="0" w:space="0" w:color="auto"/>
        <w:right w:val="none" w:sz="0" w:space="0" w:color="auto"/>
      </w:divBdr>
      <w:divsChild>
        <w:div w:id="277951120">
          <w:marLeft w:val="0"/>
          <w:marRight w:val="0"/>
          <w:marTop w:val="0"/>
          <w:marBottom w:val="0"/>
          <w:divBdr>
            <w:top w:val="none" w:sz="0" w:space="0" w:color="auto"/>
            <w:left w:val="none" w:sz="0" w:space="0" w:color="auto"/>
            <w:bottom w:val="single" w:sz="6" w:space="23" w:color="C0C0C0"/>
            <w:right w:val="none" w:sz="0" w:space="0" w:color="auto"/>
          </w:divBdr>
          <w:divsChild>
            <w:div w:id="277951054">
              <w:marLeft w:val="0"/>
              <w:marRight w:val="0"/>
              <w:marTop w:val="720"/>
              <w:marBottom w:val="0"/>
              <w:divBdr>
                <w:top w:val="none" w:sz="0" w:space="0" w:color="auto"/>
                <w:left w:val="none" w:sz="0" w:space="0" w:color="auto"/>
                <w:bottom w:val="none" w:sz="0" w:space="0" w:color="auto"/>
                <w:right w:val="none" w:sz="0" w:space="0" w:color="auto"/>
              </w:divBdr>
              <w:divsChild>
                <w:div w:id="277951210">
                  <w:marLeft w:val="0"/>
                  <w:marRight w:val="0"/>
                  <w:marTop w:val="0"/>
                  <w:marBottom w:val="0"/>
                  <w:divBdr>
                    <w:top w:val="none" w:sz="0" w:space="0" w:color="auto"/>
                    <w:left w:val="none" w:sz="0" w:space="0" w:color="auto"/>
                    <w:bottom w:val="none" w:sz="0" w:space="0" w:color="auto"/>
                    <w:right w:val="none" w:sz="0" w:space="0" w:color="auto"/>
                  </w:divBdr>
                  <w:divsChild>
                    <w:div w:id="277951110">
                      <w:marLeft w:val="480"/>
                      <w:marRight w:val="0"/>
                      <w:marTop w:val="24"/>
                      <w:marBottom w:val="0"/>
                      <w:divBdr>
                        <w:top w:val="none" w:sz="0" w:space="0" w:color="auto"/>
                        <w:left w:val="none" w:sz="0" w:space="0" w:color="auto"/>
                        <w:bottom w:val="none" w:sz="0" w:space="0" w:color="auto"/>
                        <w:right w:val="none" w:sz="0" w:space="0" w:color="auto"/>
                      </w:divBdr>
                      <w:divsChild>
                        <w:div w:id="277951127">
                          <w:marLeft w:val="480"/>
                          <w:marRight w:val="240"/>
                          <w:marTop w:val="0"/>
                          <w:marBottom w:val="0"/>
                          <w:divBdr>
                            <w:top w:val="single" w:sz="6" w:space="0" w:color="FFFFFF"/>
                            <w:left w:val="single" w:sz="6" w:space="0" w:color="FFFFFF"/>
                            <w:bottom w:val="single" w:sz="6" w:space="2" w:color="FFFFFF"/>
                            <w:right w:val="single" w:sz="6" w:space="0" w:color="FFFFFF"/>
                          </w:divBdr>
                          <w:divsChild>
                            <w:div w:id="2779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1135">
      <w:marLeft w:val="0"/>
      <w:marRight w:val="0"/>
      <w:marTop w:val="0"/>
      <w:marBottom w:val="0"/>
      <w:divBdr>
        <w:top w:val="none" w:sz="0" w:space="0" w:color="auto"/>
        <w:left w:val="none" w:sz="0" w:space="0" w:color="auto"/>
        <w:bottom w:val="none" w:sz="0" w:space="0" w:color="auto"/>
        <w:right w:val="none" w:sz="0" w:space="0" w:color="auto"/>
      </w:divBdr>
      <w:divsChild>
        <w:div w:id="277951047">
          <w:marLeft w:val="0"/>
          <w:marRight w:val="0"/>
          <w:marTop w:val="0"/>
          <w:marBottom w:val="0"/>
          <w:divBdr>
            <w:top w:val="none" w:sz="0" w:space="0" w:color="auto"/>
            <w:left w:val="none" w:sz="0" w:space="0" w:color="auto"/>
            <w:bottom w:val="none" w:sz="0" w:space="0" w:color="auto"/>
            <w:right w:val="none" w:sz="0" w:space="0" w:color="auto"/>
          </w:divBdr>
        </w:div>
        <w:div w:id="277951072">
          <w:marLeft w:val="0"/>
          <w:marRight w:val="0"/>
          <w:marTop w:val="0"/>
          <w:marBottom w:val="0"/>
          <w:divBdr>
            <w:top w:val="none" w:sz="0" w:space="0" w:color="auto"/>
            <w:left w:val="none" w:sz="0" w:space="0" w:color="auto"/>
            <w:bottom w:val="none" w:sz="0" w:space="0" w:color="auto"/>
            <w:right w:val="none" w:sz="0" w:space="0" w:color="auto"/>
          </w:divBdr>
        </w:div>
        <w:div w:id="277951091">
          <w:marLeft w:val="0"/>
          <w:marRight w:val="0"/>
          <w:marTop w:val="0"/>
          <w:marBottom w:val="0"/>
          <w:divBdr>
            <w:top w:val="none" w:sz="0" w:space="0" w:color="auto"/>
            <w:left w:val="none" w:sz="0" w:space="0" w:color="auto"/>
            <w:bottom w:val="none" w:sz="0" w:space="0" w:color="auto"/>
            <w:right w:val="none" w:sz="0" w:space="0" w:color="auto"/>
          </w:divBdr>
        </w:div>
        <w:div w:id="277951095">
          <w:marLeft w:val="0"/>
          <w:marRight w:val="0"/>
          <w:marTop w:val="0"/>
          <w:marBottom w:val="0"/>
          <w:divBdr>
            <w:top w:val="none" w:sz="0" w:space="0" w:color="auto"/>
            <w:left w:val="none" w:sz="0" w:space="0" w:color="auto"/>
            <w:bottom w:val="none" w:sz="0" w:space="0" w:color="auto"/>
            <w:right w:val="none" w:sz="0" w:space="0" w:color="auto"/>
          </w:divBdr>
        </w:div>
        <w:div w:id="277951105">
          <w:marLeft w:val="0"/>
          <w:marRight w:val="0"/>
          <w:marTop w:val="0"/>
          <w:marBottom w:val="0"/>
          <w:divBdr>
            <w:top w:val="none" w:sz="0" w:space="0" w:color="auto"/>
            <w:left w:val="none" w:sz="0" w:space="0" w:color="auto"/>
            <w:bottom w:val="none" w:sz="0" w:space="0" w:color="auto"/>
            <w:right w:val="none" w:sz="0" w:space="0" w:color="auto"/>
          </w:divBdr>
        </w:div>
        <w:div w:id="277951112">
          <w:marLeft w:val="0"/>
          <w:marRight w:val="0"/>
          <w:marTop w:val="0"/>
          <w:marBottom w:val="0"/>
          <w:divBdr>
            <w:top w:val="none" w:sz="0" w:space="0" w:color="auto"/>
            <w:left w:val="none" w:sz="0" w:space="0" w:color="auto"/>
            <w:bottom w:val="none" w:sz="0" w:space="0" w:color="auto"/>
            <w:right w:val="none" w:sz="0" w:space="0" w:color="auto"/>
          </w:divBdr>
        </w:div>
        <w:div w:id="277951114">
          <w:marLeft w:val="0"/>
          <w:marRight w:val="0"/>
          <w:marTop w:val="0"/>
          <w:marBottom w:val="0"/>
          <w:divBdr>
            <w:top w:val="none" w:sz="0" w:space="0" w:color="auto"/>
            <w:left w:val="none" w:sz="0" w:space="0" w:color="auto"/>
            <w:bottom w:val="none" w:sz="0" w:space="0" w:color="auto"/>
            <w:right w:val="none" w:sz="0" w:space="0" w:color="auto"/>
          </w:divBdr>
        </w:div>
        <w:div w:id="277951150">
          <w:marLeft w:val="0"/>
          <w:marRight w:val="0"/>
          <w:marTop w:val="0"/>
          <w:marBottom w:val="0"/>
          <w:divBdr>
            <w:top w:val="none" w:sz="0" w:space="0" w:color="auto"/>
            <w:left w:val="none" w:sz="0" w:space="0" w:color="auto"/>
            <w:bottom w:val="none" w:sz="0" w:space="0" w:color="auto"/>
            <w:right w:val="none" w:sz="0" w:space="0" w:color="auto"/>
          </w:divBdr>
        </w:div>
        <w:div w:id="277951199">
          <w:marLeft w:val="0"/>
          <w:marRight w:val="0"/>
          <w:marTop w:val="0"/>
          <w:marBottom w:val="0"/>
          <w:divBdr>
            <w:top w:val="none" w:sz="0" w:space="0" w:color="auto"/>
            <w:left w:val="none" w:sz="0" w:space="0" w:color="auto"/>
            <w:bottom w:val="none" w:sz="0" w:space="0" w:color="auto"/>
            <w:right w:val="none" w:sz="0" w:space="0" w:color="auto"/>
          </w:divBdr>
        </w:div>
        <w:div w:id="277951219">
          <w:marLeft w:val="0"/>
          <w:marRight w:val="0"/>
          <w:marTop w:val="0"/>
          <w:marBottom w:val="0"/>
          <w:divBdr>
            <w:top w:val="none" w:sz="0" w:space="0" w:color="auto"/>
            <w:left w:val="none" w:sz="0" w:space="0" w:color="auto"/>
            <w:bottom w:val="none" w:sz="0" w:space="0" w:color="auto"/>
            <w:right w:val="none" w:sz="0" w:space="0" w:color="auto"/>
          </w:divBdr>
        </w:div>
      </w:divsChild>
    </w:div>
    <w:div w:id="277951139">
      <w:marLeft w:val="0"/>
      <w:marRight w:val="0"/>
      <w:marTop w:val="0"/>
      <w:marBottom w:val="0"/>
      <w:divBdr>
        <w:top w:val="none" w:sz="0" w:space="0" w:color="auto"/>
        <w:left w:val="none" w:sz="0" w:space="0" w:color="auto"/>
        <w:bottom w:val="none" w:sz="0" w:space="0" w:color="auto"/>
        <w:right w:val="none" w:sz="0" w:space="0" w:color="auto"/>
      </w:divBdr>
      <w:divsChild>
        <w:div w:id="277951138">
          <w:marLeft w:val="0"/>
          <w:marRight w:val="0"/>
          <w:marTop w:val="0"/>
          <w:marBottom w:val="0"/>
          <w:divBdr>
            <w:top w:val="none" w:sz="0" w:space="0" w:color="auto"/>
            <w:left w:val="none" w:sz="0" w:space="0" w:color="auto"/>
            <w:bottom w:val="none" w:sz="0" w:space="0" w:color="auto"/>
            <w:right w:val="none" w:sz="0" w:space="0" w:color="auto"/>
          </w:divBdr>
          <w:divsChild>
            <w:div w:id="277951074">
              <w:marLeft w:val="0"/>
              <w:marRight w:val="0"/>
              <w:marTop w:val="0"/>
              <w:marBottom w:val="0"/>
              <w:divBdr>
                <w:top w:val="none" w:sz="0" w:space="0" w:color="auto"/>
                <w:left w:val="none" w:sz="0" w:space="0" w:color="auto"/>
                <w:bottom w:val="none" w:sz="0" w:space="0" w:color="auto"/>
                <w:right w:val="none" w:sz="0" w:space="0" w:color="auto"/>
              </w:divBdr>
            </w:div>
            <w:div w:id="277951080">
              <w:marLeft w:val="0"/>
              <w:marRight w:val="0"/>
              <w:marTop w:val="0"/>
              <w:marBottom w:val="0"/>
              <w:divBdr>
                <w:top w:val="none" w:sz="0" w:space="0" w:color="auto"/>
                <w:left w:val="none" w:sz="0" w:space="0" w:color="auto"/>
                <w:bottom w:val="none" w:sz="0" w:space="0" w:color="auto"/>
                <w:right w:val="none" w:sz="0" w:space="0" w:color="auto"/>
              </w:divBdr>
            </w:div>
            <w:div w:id="277951089">
              <w:marLeft w:val="0"/>
              <w:marRight w:val="0"/>
              <w:marTop w:val="0"/>
              <w:marBottom w:val="0"/>
              <w:divBdr>
                <w:top w:val="none" w:sz="0" w:space="0" w:color="auto"/>
                <w:left w:val="none" w:sz="0" w:space="0" w:color="auto"/>
                <w:bottom w:val="none" w:sz="0" w:space="0" w:color="auto"/>
                <w:right w:val="none" w:sz="0" w:space="0" w:color="auto"/>
              </w:divBdr>
            </w:div>
            <w:div w:id="277951111">
              <w:marLeft w:val="0"/>
              <w:marRight w:val="0"/>
              <w:marTop w:val="0"/>
              <w:marBottom w:val="0"/>
              <w:divBdr>
                <w:top w:val="none" w:sz="0" w:space="0" w:color="auto"/>
                <w:left w:val="none" w:sz="0" w:space="0" w:color="auto"/>
                <w:bottom w:val="none" w:sz="0" w:space="0" w:color="auto"/>
                <w:right w:val="none" w:sz="0" w:space="0" w:color="auto"/>
              </w:divBdr>
            </w:div>
            <w:div w:id="277951124">
              <w:marLeft w:val="0"/>
              <w:marRight w:val="0"/>
              <w:marTop w:val="0"/>
              <w:marBottom w:val="0"/>
              <w:divBdr>
                <w:top w:val="none" w:sz="0" w:space="0" w:color="auto"/>
                <w:left w:val="none" w:sz="0" w:space="0" w:color="auto"/>
                <w:bottom w:val="none" w:sz="0" w:space="0" w:color="auto"/>
                <w:right w:val="none" w:sz="0" w:space="0" w:color="auto"/>
              </w:divBdr>
            </w:div>
            <w:div w:id="277951130">
              <w:marLeft w:val="0"/>
              <w:marRight w:val="0"/>
              <w:marTop w:val="0"/>
              <w:marBottom w:val="0"/>
              <w:divBdr>
                <w:top w:val="none" w:sz="0" w:space="0" w:color="auto"/>
                <w:left w:val="none" w:sz="0" w:space="0" w:color="auto"/>
                <w:bottom w:val="none" w:sz="0" w:space="0" w:color="auto"/>
                <w:right w:val="none" w:sz="0" w:space="0" w:color="auto"/>
              </w:divBdr>
            </w:div>
            <w:div w:id="277951132">
              <w:marLeft w:val="0"/>
              <w:marRight w:val="0"/>
              <w:marTop w:val="0"/>
              <w:marBottom w:val="0"/>
              <w:divBdr>
                <w:top w:val="none" w:sz="0" w:space="0" w:color="auto"/>
                <w:left w:val="none" w:sz="0" w:space="0" w:color="auto"/>
                <w:bottom w:val="none" w:sz="0" w:space="0" w:color="auto"/>
                <w:right w:val="none" w:sz="0" w:space="0" w:color="auto"/>
              </w:divBdr>
            </w:div>
            <w:div w:id="277951160">
              <w:marLeft w:val="0"/>
              <w:marRight w:val="0"/>
              <w:marTop w:val="0"/>
              <w:marBottom w:val="0"/>
              <w:divBdr>
                <w:top w:val="none" w:sz="0" w:space="0" w:color="auto"/>
                <w:left w:val="none" w:sz="0" w:space="0" w:color="auto"/>
                <w:bottom w:val="none" w:sz="0" w:space="0" w:color="auto"/>
                <w:right w:val="none" w:sz="0" w:space="0" w:color="auto"/>
              </w:divBdr>
            </w:div>
            <w:div w:id="277951161">
              <w:marLeft w:val="0"/>
              <w:marRight w:val="0"/>
              <w:marTop w:val="0"/>
              <w:marBottom w:val="0"/>
              <w:divBdr>
                <w:top w:val="none" w:sz="0" w:space="0" w:color="auto"/>
                <w:left w:val="none" w:sz="0" w:space="0" w:color="auto"/>
                <w:bottom w:val="none" w:sz="0" w:space="0" w:color="auto"/>
                <w:right w:val="none" w:sz="0" w:space="0" w:color="auto"/>
              </w:divBdr>
            </w:div>
            <w:div w:id="277951166">
              <w:marLeft w:val="0"/>
              <w:marRight w:val="0"/>
              <w:marTop w:val="0"/>
              <w:marBottom w:val="0"/>
              <w:divBdr>
                <w:top w:val="none" w:sz="0" w:space="0" w:color="auto"/>
                <w:left w:val="none" w:sz="0" w:space="0" w:color="auto"/>
                <w:bottom w:val="none" w:sz="0" w:space="0" w:color="auto"/>
                <w:right w:val="none" w:sz="0" w:space="0" w:color="auto"/>
              </w:divBdr>
            </w:div>
            <w:div w:id="277951173">
              <w:marLeft w:val="0"/>
              <w:marRight w:val="0"/>
              <w:marTop w:val="0"/>
              <w:marBottom w:val="0"/>
              <w:divBdr>
                <w:top w:val="none" w:sz="0" w:space="0" w:color="auto"/>
                <w:left w:val="none" w:sz="0" w:space="0" w:color="auto"/>
                <w:bottom w:val="none" w:sz="0" w:space="0" w:color="auto"/>
                <w:right w:val="none" w:sz="0" w:space="0" w:color="auto"/>
              </w:divBdr>
            </w:div>
            <w:div w:id="277951180">
              <w:marLeft w:val="0"/>
              <w:marRight w:val="0"/>
              <w:marTop w:val="0"/>
              <w:marBottom w:val="0"/>
              <w:divBdr>
                <w:top w:val="none" w:sz="0" w:space="0" w:color="auto"/>
                <w:left w:val="none" w:sz="0" w:space="0" w:color="auto"/>
                <w:bottom w:val="none" w:sz="0" w:space="0" w:color="auto"/>
                <w:right w:val="none" w:sz="0" w:space="0" w:color="auto"/>
              </w:divBdr>
            </w:div>
            <w:div w:id="277951185">
              <w:marLeft w:val="0"/>
              <w:marRight w:val="0"/>
              <w:marTop w:val="0"/>
              <w:marBottom w:val="0"/>
              <w:divBdr>
                <w:top w:val="none" w:sz="0" w:space="0" w:color="auto"/>
                <w:left w:val="none" w:sz="0" w:space="0" w:color="auto"/>
                <w:bottom w:val="none" w:sz="0" w:space="0" w:color="auto"/>
                <w:right w:val="none" w:sz="0" w:space="0" w:color="auto"/>
              </w:divBdr>
            </w:div>
            <w:div w:id="277951193">
              <w:marLeft w:val="0"/>
              <w:marRight w:val="0"/>
              <w:marTop w:val="0"/>
              <w:marBottom w:val="0"/>
              <w:divBdr>
                <w:top w:val="none" w:sz="0" w:space="0" w:color="auto"/>
                <w:left w:val="none" w:sz="0" w:space="0" w:color="auto"/>
                <w:bottom w:val="none" w:sz="0" w:space="0" w:color="auto"/>
                <w:right w:val="none" w:sz="0" w:space="0" w:color="auto"/>
              </w:divBdr>
            </w:div>
            <w:div w:id="277951197">
              <w:marLeft w:val="0"/>
              <w:marRight w:val="0"/>
              <w:marTop w:val="0"/>
              <w:marBottom w:val="0"/>
              <w:divBdr>
                <w:top w:val="none" w:sz="0" w:space="0" w:color="auto"/>
                <w:left w:val="none" w:sz="0" w:space="0" w:color="auto"/>
                <w:bottom w:val="none" w:sz="0" w:space="0" w:color="auto"/>
                <w:right w:val="none" w:sz="0" w:space="0" w:color="auto"/>
              </w:divBdr>
            </w:div>
            <w:div w:id="277951216">
              <w:marLeft w:val="0"/>
              <w:marRight w:val="0"/>
              <w:marTop w:val="0"/>
              <w:marBottom w:val="0"/>
              <w:divBdr>
                <w:top w:val="none" w:sz="0" w:space="0" w:color="auto"/>
                <w:left w:val="none" w:sz="0" w:space="0" w:color="auto"/>
                <w:bottom w:val="none" w:sz="0" w:space="0" w:color="auto"/>
                <w:right w:val="none" w:sz="0" w:space="0" w:color="auto"/>
              </w:divBdr>
            </w:div>
            <w:div w:id="2779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154">
      <w:marLeft w:val="0"/>
      <w:marRight w:val="0"/>
      <w:marTop w:val="0"/>
      <w:marBottom w:val="0"/>
      <w:divBdr>
        <w:top w:val="none" w:sz="0" w:space="0" w:color="auto"/>
        <w:left w:val="none" w:sz="0" w:space="0" w:color="auto"/>
        <w:bottom w:val="none" w:sz="0" w:space="0" w:color="auto"/>
        <w:right w:val="none" w:sz="0" w:space="0" w:color="auto"/>
      </w:divBdr>
      <w:divsChild>
        <w:div w:id="277951214">
          <w:marLeft w:val="0"/>
          <w:marRight w:val="0"/>
          <w:marTop w:val="0"/>
          <w:marBottom w:val="0"/>
          <w:divBdr>
            <w:top w:val="none" w:sz="0" w:space="0" w:color="auto"/>
            <w:left w:val="none" w:sz="0" w:space="0" w:color="auto"/>
            <w:bottom w:val="none" w:sz="0" w:space="0" w:color="auto"/>
            <w:right w:val="none" w:sz="0" w:space="0" w:color="auto"/>
          </w:divBdr>
          <w:divsChild>
            <w:div w:id="277951183">
              <w:marLeft w:val="0"/>
              <w:marRight w:val="0"/>
              <w:marTop w:val="0"/>
              <w:marBottom w:val="0"/>
              <w:divBdr>
                <w:top w:val="none" w:sz="0" w:space="0" w:color="auto"/>
                <w:left w:val="none" w:sz="0" w:space="0" w:color="auto"/>
                <w:bottom w:val="none" w:sz="0" w:space="0" w:color="auto"/>
                <w:right w:val="none" w:sz="0" w:space="0" w:color="auto"/>
              </w:divBdr>
              <w:divsChild>
                <w:div w:id="277951131">
                  <w:marLeft w:val="0"/>
                  <w:marRight w:val="0"/>
                  <w:marTop w:val="0"/>
                  <w:marBottom w:val="0"/>
                  <w:divBdr>
                    <w:top w:val="none" w:sz="0" w:space="0" w:color="auto"/>
                    <w:left w:val="none" w:sz="0" w:space="0" w:color="auto"/>
                    <w:bottom w:val="none" w:sz="0" w:space="0" w:color="auto"/>
                    <w:right w:val="none" w:sz="0" w:space="0" w:color="auto"/>
                  </w:divBdr>
                  <w:divsChild>
                    <w:div w:id="277951088">
                      <w:marLeft w:val="0"/>
                      <w:marRight w:val="0"/>
                      <w:marTop w:val="168"/>
                      <w:marBottom w:val="0"/>
                      <w:divBdr>
                        <w:top w:val="none" w:sz="0" w:space="0" w:color="auto"/>
                        <w:left w:val="none" w:sz="0" w:space="0" w:color="auto"/>
                        <w:bottom w:val="none" w:sz="0" w:space="0" w:color="auto"/>
                        <w:right w:val="none" w:sz="0" w:space="0" w:color="auto"/>
                      </w:divBdr>
                      <w:divsChild>
                        <w:div w:id="277951205">
                          <w:marLeft w:val="0"/>
                          <w:marRight w:val="0"/>
                          <w:marTop w:val="0"/>
                          <w:marBottom w:val="0"/>
                          <w:divBdr>
                            <w:top w:val="none" w:sz="0" w:space="0" w:color="auto"/>
                            <w:left w:val="none" w:sz="0" w:space="0" w:color="auto"/>
                            <w:bottom w:val="none" w:sz="0" w:space="0" w:color="auto"/>
                            <w:right w:val="none" w:sz="0" w:space="0" w:color="auto"/>
                          </w:divBdr>
                        </w:div>
                        <w:div w:id="2779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951156">
      <w:marLeft w:val="0"/>
      <w:marRight w:val="0"/>
      <w:marTop w:val="0"/>
      <w:marBottom w:val="0"/>
      <w:divBdr>
        <w:top w:val="none" w:sz="0" w:space="0" w:color="auto"/>
        <w:left w:val="none" w:sz="0" w:space="0" w:color="auto"/>
        <w:bottom w:val="none" w:sz="0" w:space="0" w:color="auto"/>
        <w:right w:val="none" w:sz="0" w:space="0" w:color="auto"/>
      </w:divBdr>
      <w:divsChild>
        <w:div w:id="277951041">
          <w:marLeft w:val="0"/>
          <w:marRight w:val="0"/>
          <w:marTop w:val="0"/>
          <w:marBottom w:val="0"/>
          <w:divBdr>
            <w:top w:val="none" w:sz="0" w:space="0" w:color="auto"/>
            <w:left w:val="none" w:sz="0" w:space="0" w:color="auto"/>
            <w:bottom w:val="none" w:sz="0" w:space="0" w:color="auto"/>
            <w:right w:val="none" w:sz="0" w:space="0" w:color="auto"/>
          </w:divBdr>
        </w:div>
        <w:div w:id="277951066">
          <w:marLeft w:val="0"/>
          <w:marRight w:val="0"/>
          <w:marTop w:val="0"/>
          <w:marBottom w:val="0"/>
          <w:divBdr>
            <w:top w:val="none" w:sz="0" w:space="0" w:color="auto"/>
            <w:left w:val="none" w:sz="0" w:space="0" w:color="auto"/>
            <w:bottom w:val="none" w:sz="0" w:space="0" w:color="auto"/>
            <w:right w:val="none" w:sz="0" w:space="0" w:color="auto"/>
          </w:divBdr>
        </w:div>
        <w:div w:id="277951085">
          <w:marLeft w:val="0"/>
          <w:marRight w:val="0"/>
          <w:marTop w:val="0"/>
          <w:marBottom w:val="0"/>
          <w:divBdr>
            <w:top w:val="none" w:sz="0" w:space="0" w:color="auto"/>
            <w:left w:val="none" w:sz="0" w:space="0" w:color="auto"/>
            <w:bottom w:val="none" w:sz="0" w:space="0" w:color="auto"/>
            <w:right w:val="none" w:sz="0" w:space="0" w:color="auto"/>
          </w:divBdr>
        </w:div>
        <w:div w:id="277951090">
          <w:marLeft w:val="0"/>
          <w:marRight w:val="0"/>
          <w:marTop w:val="0"/>
          <w:marBottom w:val="0"/>
          <w:divBdr>
            <w:top w:val="none" w:sz="0" w:space="0" w:color="auto"/>
            <w:left w:val="none" w:sz="0" w:space="0" w:color="auto"/>
            <w:bottom w:val="none" w:sz="0" w:space="0" w:color="auto"/>
            <w:right w:val="none" w:sz="0" w:space="0" w:color="auto"/>
          </w:divBdr>
        </w:div>
        <w:div w:id="277951098">
          <w:marLeft w:val="0"/>
          <w:marRight w:val="0"/>
          <w:marTop w:val="0"/>
          <w:marBottom w:val="0"/>
          <w:divBdr>
            <w:top w:val="none" w:sz="0" w:space="0" w:color="auto"/>
            <w:left w:val="none" w:sz="0" w:space="0" w:color="auto"/>
            <w:bottom w:val="none" w:sz="0" w:space="0" w:color="auto"/>
            <w:right w:val="none" w:sz="0" w:space="0" w:color="auto"/>
          </w:divBdr>
        </w:div>
        <w:div w:id="277951103">
          <w:marLeft w:val="0"/>
          <w:marRight w:val="0"/>
          <w:marTop w:val="0"/>
          <w:marBottom w:val="0"/>
          <w:divBdr>
            <w:top w:val="none" w:sz="0" w:space="0" w:color="auto"/>
            <w:left w:val="none" w:sz="0" w:space="0" w:color="auto"/>
            <w:bottom w:val="none" w:sz="0" w:space="0" w:color="auto"/>
            <w:right w:val="none" w:sz="0" w:space="0" w:color="auto"/>
          </w:divBdr>
        </w:div>
        <w:div w:id="277951109">
          <w:marLeft w:val="0"/>
          <w:marRight w:val="0"/>
          <w:marTop w:val="0"/>
          <w:marBottom w:val="0"/>
          <w:divBdr>
            <w:top w:val="none" w:sz="0" w:space="0" w:color="auto"/>
            <w:left w:val="none" w:sz="0" w:space="0" w:color="auto"/>
            <w:bottom w:val="none" w:sz="0" w:space="0" w:color="auto"/>
            <w:right w:val="none" w:sz="0" w:space="0" w:color="auto"/>
          </w:divBdr>
        </w:div>
        <w:div w:id="277951116">
          <w:marLeft w:val="0"/>
          <w:marRight w:val="0"/>
          <w:marTop w:val="0"/>
          <w:marBottom w:val="0"/>
          <w:divBdr>
            <w:top w:val="none" w:sz="0" w:space="0" w:color="auto"/>
            <w:left w:val="none" w:sz="0" w:space="0" w:color="auto"/>
            <w:bottom w:val="none" w:sz="0" w:space="0" w:color="auto"/>
            <w:right w:val="none" w:sz="0" w:space="0" w:color="auto"/>
          </w:divBdr>
        </w:div>
        <w:div w:id="277951181">
          <w:marLeft w:val="0"/>
          <w:marRight w:val="0"/>
          <w:marTop w:val="0"/>
          <w:marBottom w:val="0"/>
          <w:divBdr>
            <w:top w:val="none" w:sz="0" w:space="0" w:color="auto"/>
            <w:left w:val="none" w:sz="0" w:space="0" w:color="auto"/>
            <w:bottom w:val="none" w:sz="0" w:space="0" w:color="auto"/>
            <w:right w:val="none" w:sz="0" w:space="0" w:color="auto"/>
          </w:divBdr>
        </w:div>
      </w:divsChild>
    </w:div>
    <w:div w:id="277951158">
      <w:marLeft w:val="0"/>
      <w:marRight w:val="0"/>
      <w:marTop w:val="0"/>
      <w:marBottom w:val="0"/>
      <w:divBdr>
        <w:top w:val="none" w:sz="0" w:space="0" w:color="auto"/>
        <w:left w:val="none" w:sz="0" w:space="0" w:color="auto"/>
        <w:bottom w:val="none" w:sz="0" w:space="0" w:color="auto"/>
        <w:right w:val="none" w:sz="0" w:space="0" w:color="auto"/>
      </w:divBdr>
      <w:divsChild>
        <w:div w:id="277951045">
          <w:marLeft w:val="0"/>
          <w:marRight w:val="0"/>
          <w:marTop w:val="0"/>
          <w:marBottom w:val="0"/>
          <w:divBdr>
            <w:top w:val="none" w:sz="0" w:space="0" w:color="auto"/>
            <w:left w:val="none" w:sz="0" w:space="0" w:color="auto"/>
            <w:bottom w:val="none" w:sz="0" w:space="0" w:color="auto"/>
            <w:right w:val="none" w:sz="0" w:space="0" w:color="auto"/>
          </w:divBdr>
        </w:div>
        <w:div w:id="277951051">
          <w:marLeft w:val="0"/>
          <w:marRight w:val="0"/>
          <w:marTop w:val="0"/>
          <w:marBottom w:val="0"/>
          <w:divBdr>
            <w:top w:val="none" w:sz="0" w:space="0" w:color="auto"/>
            <w:left w:val="none" w:sz="0" w:space="0" w:color="auto"/>
            <w:bottom w:val="none" w:sz="0" w:space="0" w:color="auto"/>
            <w:right w:val="none" w:sz="0" w:space="0" w:color="auto"/>
          </w:divBdr>
        </w:div>
        <w:div w:id="277951056">
          <w:marLeft w:val="0"/>
          <w:marRight w:val="0"/>
          <w:marTop w:val="0"/>
          <w:marBottom w:val="0"/>
          <w:divBdr>
            <w:top w:val="none" w:sz="0" w:space="0" w:color="auto"/>
            <w:left w:val="none" w:sz="0" w:space="0" w:color="auto"/>
            <w:bottom w:val="none" w:sz="0" w:space="0" w:color="auto"/>
            <w:right w:val="none" w:sz="0" w:space="0" w:color="auto"/>
          </w:divBdr>
        </w:div>
        <w:div w:id="277951076">
          <w:marLeft w:val="0"/>
          <w:marRight w:val="0"/>
          <w:marTop w:val="0"/>
          <w:marBottom w:val="0"/>
          <w:divBdr>
            <w:top w:val="none" w:sz="0" w:space="0" w:color="auto"/>
            <w:left w:val="none" w:sz="0" w:space="0" w:color="auto"/>
            <w:bottom w:val="none" w:sz="0" w:space="0" w:color="auto"/>
            <w:right w:val="none" w:sz="0" w:space="0" w:color="auto"/>
          </w:divBdr>
        </w:div>
        <w:div w:id="277951140">
          <w:marLeft w:val="0"/>
          <w:marRight w:val="0"/>
          <w:marTop w:val="0"/>
          <w:marBottom w:val="0"/>
          <w:divBdr>
            <w:top w:val="none" w:sz="0" w:space="0" w:color="auto"/>
            <w:left w:val="none" w:sz="0" w:space="0" w:color="auto"/>
            <w:bottom w:val="none" w:sz="0" w:space="0" w:color="auto"/>
            <w:right w:val="none" w:sz="0" w:space="0" w:color="auto"/>
          </w:divBdr>
        </w:div>
      </w:divsChild>
    </w:div>
    <w:div w:id="277951162">
      <w:marLeft w:val="0"/>
      <w:marRight w:val="0"/>
      <w:marTop w:val="0"/>
      <w:marBottom w:val="0"/>
      <w:divBdr>
        <w:top w:val="none" w:sz="0" w:space="0" w:color="auto"/>
        <w:left w:val="none" w:sz="0" w:space="0" w:color="auto"/>
        <w:bottom w:val="none" w:sz="0" w:space="0" w:color="auto"/>
        <w:right w:val="none" w:sz="0" w:space="0" w:color="auto"/>
      </w:divBdr>
      <w:divsChild>
        <w:div w:id="277951083">
          <w:marLeft w:val="0"/>
          <w:marRight w:val="0"/>
          <w:marTop w:val="0"/>
          <w:marBottom w:val="0"/>
          <w:divBdr>
            <w:top w:val="none" w:sz="0" w:space="0" w:color="auto"/>
            <w:left w:val="none" w:sz="0" w:space="0" w:color="auto"/>
            <w:bottom w:val="none" w:sz="0" w:space="0" w:color="auto"/>
            <w:right w:val="none" w:sz="0" w:space="0" w:color="auto"/>
          </w:divBdr>
        </w:div>
        <w:div w:id="277951086">
          <w:marLeft w:val="0"/>
          <w:marRight w:val="0"/>
          <w:marTop w:val="0"/>
          <w:marBottom w:val="0"/>
          <w:divBdr>
            <w:top w:val="none" w:sz="0" w:space="0" w:color="auto"/>
            <w:left w:val="none" w:sz="0" w:space="0" w:color="auto"/>
            <w:bottom w:val="none" w:sz="0" w:space="0" w:color="auto"/>
            <w:right w:val="none" w:sz="0" w:space="0" w:color="auto"/>
          </w:divBdr>
        </w:div>
        <w:div w:id="277951143">
          <w:marLeft w:val="0"/>
          <w:marRight w:val="0"/>
          <w:marTop w:val="0"/>
          <w:marBottom w:val="0"/>
          <w:divBdr>
            <w:top w:val="none" w:sz="0" w:space="0" w:color="auto"/>
            <w:left w:val="none" w:sz="0" w:space="0" w:color="auto"/>
            <w:bottom w:val="none" w:sz="0" w:space="0" w:color="auto"/>
            <w:right w:val="none" w:sz="0" w:space="0" w:color="auto"/>
          </w:divBdr>
        </w:div>
        <w:div w:id="277951149">
          <w:marLeft w:val="0"/>
          <w:marRight w:val="0"/>
          <w:marTop w:val="0"/>
          <w:marBottom w:val="0"/>
          <w:divBdr>
            <w:top w:val="none" w:sz="0" w:space="0" w:color="auto"/>
            <w:left w:val="none" w:sz="0" w:space="0" w:color="auto"/>
            <w:bottom w:val="none" w:sz="0" w:space="0" w:color="auto"/>
            <w:right w:val="none" w:sz="0" w:space="0" w:color="auto"/>
          </w:divBdr>
        </w:div>
        <w:div w:id="277951176">
          <w:marLeft w:val="0"/>
          <w:marRight w:val="0"/>
          <w:marTop w:val="0"/>
          <w:marBottom w:val="0"/>
          <w:divBdr>
            <w:top w:val="none" w:sz="0" w:space="0" w:color="auto"/>
            <w:left w:val="none" w:sz="0" w:space="0" w:color="auto"/>
            <w:bottom w:val="none" w:sz="0" w:space="0" w:color="auto"/>
            <w:right w:val="none" w:sz="0" w:space="0" w:color="auto"/>
          </w:divBdr>
        </w:div>
      </w:divsChild>
    </w:div>
    <w:div w:id="277951171">
      <w:marLeft w:val="0"/>
      <w:marRight w:val="0"/>
      <w:marTop w:val="0"/>
      <w:marBottom w:val="0"/>
      <w:divBdr>
        <w:top w:val="none" w:sz="0" w:space="0" w:color="auto"/>
        <w:left w:val="none" w:sz="0" w:space="0" w:color="auto"/>
        <w:bottom w:val="none" w:sz="0" w:space="0" w:color="auto"/>
        <w:right w:val="none" w:sz="0" w:space="0" w:color="auto"/>
      </w:divBdr>
    </w:div>
    <w:div w:id="277951174">
      <w:marLeft w:val="0"/>
      <w:marRight w:val="0"/>
      <w:marTop w:val="0"/>
      <w:marBottom w:val="0"/>
      <w:divBdr>
        <w:top w:val="none" w:sz="0" w:space="0" w:color="auto"/>
        <w:left w:val="none" w:sz="0" w:space="0" w:color="auto"/>
        <w:bottom w:val="none" w:sz="0" w:space="0" w:color="auto"/>
        <w:right w:val="none" w:sz="0" w:space="0" w:color="auto"/>
      </w:divBdr>
      <w:divsChild>
        <w:div w:id="277951133">
          <w:marLeft w:val="0"/>
          <w:marRight w:val="0"/>
          <w:marTop w:val="0"/>
          <w:marBottom w:val="0"/>
          <w:divBdr>
            <w:top w:val="none" w:sz="0" w:space="0" w:color="auto"/>
            <w:left w:val="none" w:sz="0" w:space="0" w:color="auto"/>
            <w:bottom w:val="none" w:sz="0" w:space="0" w:color="auto"/>
            <w:right w:val="none" w:sz="0" w:space="0" w:color="auto"/>
          </w:divBdr>
        </w:div>
        <w:div w:id="277951203">
          <w:marLeft w:val="0"/>
          <w:marRight w:val="0"/>
          <w:marTop w:val="0"/>
          <w:marBottom w:val="0"/>
          <w:divBdr>
            <w:top w:val="none" w:sz="0" w:space="0" w:color="auto"/>
            <w:left w:val="none" w:sz="0" w:space="0" w:color="auto"/>
            <w:bottom w:val="none" w:sz="0" w:space="0" w:color="auto"/>
            <w:right w:val="none" w:sz="0" w:space="0" w:color="auto"/>
          </w:divBdr>
        </w:div>
      </w:divsChild>
    </w:div>
    <w:div w:id="277951188">
      <w:marLeft w:val="0"/>
      <w:marRight w:val="0"/>
      <w:marTop w:val="0"/>
      <w:marBottom w:val="0"/>
      <w:divBdr>
        <w:top w:val="none" w:sz="0" w:space="0" w:color="auto"/>
        <w:left w:val="none" w:sz="0" w:space="0" w:color="auto"/>
        <w:bottom w:val="none" w:sz="0" w:space="0" w:color="auto"/>
        <w:right w:val="none" w:sz="0" w:space="0" w:color="auto"/>
      </w:divBdr>
      <w:divsChild>
        <w:div w:id="277951057">
          <w:marLeft w:val="0"/>
          <w:marRight w:val="0"/>
          <w:marTop w:val="0"/>
          <w:marBottom w:val="0"/>
          <w:divBdr>
            <w:top w:val="none" w:sz="0" w:space="0" w:color="auto"/>
            <w:left w:val="none" w:sz="0" w:space="0" w:color="auto"/>
            <w:bottom w:val="none" w:sz="0" w:space="0" w:color="auto"/>
            <w:right w:val="none" w:sz="0" w:space="0" w:color="auto"/>
          </w:divBdr>
        </w:div>
        <w:div w:id="277951065">
          <w:marLeft w:val="0"/>
          <w:marRight w:val="0"/>
          <w:marTop w:val="0"/>
          <w:marBottom w:val="0"/>
          <w:divBdr>
            <w:top w:val="none" w:sz="0" w:space="0" w:color="auto"/>
            <w:left w:val="none" w:sz="0" w:space="0" w:color="auto"/>
            <w:bottom w:val="none" w:sz="0" w:space="0" w:color="auto"/>
            <w:right w:val="none" w:sz="0" w:space="0" w:color="auto"/>
          </w:divBdr>
        </w:div>
        <w:div w:id="277951078">
          <w:marLeft w:val="0"/>
          <w:marRight w:val="0"/>
          <w:marTop w:val="0"/>
          <w:marBottom w:val="0"/>
          <w:divBdr>
            <w:top w:val="none" w:sz="0" w:space="0" w:color="auto"/>
            <w:left w:val="none" w:sz="0" w:space="0" w:color="auto"/>
            <w:bottom w:val="none" w:sz="0" w:space="0" w:color="auto"/>
            <w:right w:val="none" w:sz="0" w:space="0" w:color="auto"/>
          </w:divBdr>
        </w:div>
        <w:div w:id="277951082">
          <w:marLeft w:val="0"/>
          <w:marRight w:val="0"/>
          <w:marTop w:val="0"/>
          <w:marBottom w:val="0"/>
          <w:divBdr>
            <w:top w:val="none" w:sz="0" w:space="0" w:color="auto"/>
            <w:left w:val="none" w:sz="0" w:space="0" w:color="auto"/>
            <w:bottom w:val="none" w:sz="0" w:space="0" w:color="auto"/>
            <w:right w:val="none" w:sz="0" w:space="0" w:color="auto"/>
          </w:divBdr>
        </w:div>
        <w:div w:id="277951099">
          <w:marLeft w:val="0"/>
          <w:marRight w:val="0"/>
          <w:marTop w:val="0"/>
          <w:marBottom w:val="0"/>
          <w:divBdr>
            <w:top w:val="none" w:sz="0" w:space="0" w:color="auto"/>
            <w:left w:val="none" w:sz="0" w:space="0" w:color="auto"/>
            <w:bottom w:val="none" w:sz="0" w:space="0" w:color="auto"/>
            <w:right w:val="none" w:sz="0" w:space="0" w:color="auto"/>
          </w:divBdr>
        </w:div>
        <w:div w:id="277951104">
          <w:marLeft w:val="0"/>
          <w:marRight w:val="0"/>
          <w:marTop w:val="0"/>
          <w:marBottom w:val="0"/>
          <w:divBdr>
            <w:top w:val="none" w:sz="0" w:space="0" w:color="auto"/>
            <w:left w:val="none" w:sz="0" w:space="0" w:color="auto"/>
            <w:bottom w:val="none" w:sz="0" w:space="0" w:color="auto"/>
            <w:right w:val="none" w:sz="0" w:space="0" w:color="auto"/>
          </w:divBdr>
        </w:div>
        <w:div w:id="277951115">
          <w:marLeft w:val="0"/>
          <w:marRight w:val="0"/>
          <w:marTop w:val="0"/>
          <w:marBottom w:val="0"/>
          <w:divBdr>
            <w:top w:val="none" w:sz="0" w:space="0" w:color="auto"/>
            <w:left w:val="none" w:sz="0" w:space="0" w:color="auto"/>
            <w:bottom w:val="none" w:sz="0" w:space="0" w:color="auto"/>
            <w:right w:val="none" w:sz="0" w:space="0" w:color="auto"/>
          </w:divBdr>
        </w:div>
        <w:div w:id="277951123">
          <w:marLeft w:val="0"/>
          <w:marRight w:val="0"/>
          <w:marTop w:val="0"/>
          <w:marBottom w:val="0"/>
          <w:divBdr>
            <w:top w:val="none" w:sz="0" w:space="0" w:color="auto"/>
            <w:left w:val="none" w:sz="0" w:space="0" w:color="auto"/>
            <w:bottom w:val="none" w:sz="0" w:space="0" w:color="auto"/>
            <w:right w:val="none" w:sz="0" w:space="0" w:color="auto"/>
          </w:divBdr>
        </w:div>
        <w:div w:id="277951126">
          <w:marLeft w:val="0"/>
          <w:marRight w:val="0"/>
          <w:marTop w:val="0"/>
          <w:marBottom w:val="0"/>
          <w:divBdr>
            <w:top w:val="none" w:sz="0" w:space="0" w:color="auto"/>
            <w:left w:val="none" w:sz="0" w:space="0" w:color="auto"/>
            <w:bottom w:val="none" w:sz="0" w:space="0" w:color="auto"/>
            <w:right w:val="none" w:sz="0" w:space="0" w:color="auto"/>
          </w:divBdr>
        </w:div>
        <w:div w:id="277951148">
          <w:marLeft w:val="0"/>
          <w:marRight w:val="0"/>
          <w:marTop w:val="0"/>
          <w:marBottom w:val="0"/>
          <w:divBdr>
            <w:top w:val="none" w:sz="0" w:space="0" w:color="auto"/>
            <w:left w:val="none" w:sz="0" w:space="0" w:color="auto"/>
            <w:bottom w:val="none" w:sz="0" w:space="0" w:color="auto"/>
            <w:right w:val="none" w:sz="0" w:space="0" w:color="auto"/>
          </w:divBdr>
        </w:div>
        <w:div w:id="277951152">
          <w:marLeft w:val="0"/>
          <w:marRight w:val="0"/>
          <w:marTop w:val="0"/>
          <w:marBottom w:val="0"/>
          <w:divBdr>
            <w:top w:val="none" w:sz="0" w:space="0" w:color="auto"/>
            <w:left w:val="none" w:sz="0" w:space="0" w:color="auto"/>
            <w:bottom w:val="none" w:sz="0" w:space="0" w:color="auto"/>
            <w:right w:val="none" w:sz="0" w:space="0" w:color="auto"/>
          </w:divBdr>
        </w:div>
        <w:div w:id="277951155">
          <w:marLeft w:val="0"/>
          <w:marRight w:val="0"/>
          <w:marTop w:val="0"/>
          <w:marBottom w:val="0"/>
          <w:divBdr>
            <w:top w:val="none" w:sz="0" w:space="0" w:color="auto"/>
            <w:left w:val="none" w:sz="0" w:space="0" w:color="auto"/>
            <w:bottom w:val="none" w:sz="0" w:space="0" w:color="auto"/>
            <w:right w:val="none" w:sz="0" w:space="0" w:color="auto"/>
          </w:divBdr>
        </w:div>
        <w:div w:id="277951164">
          <w:marLeft w:val="0"/>
          <w:marRight w:val="0"/>
          <w:marTop w:val="0"/>
          <w:marBottom w:val="0"/>
          <w:divBdr>
            <w:top w:val="none" w:sz="0" w:space="0" w:color="auto"/>
            <w:left w:val="none" w:sz="0" w:space="0" w:color="auto"/>
            <w:bottom w:val="none" w:sz="0" w:space="0" w:color="auto"/>
            <w:right w:val="none" w:sz="0" w:space="0" w:color="auto"/>
          </w:divBdr>
        </w:div>
        <w:div w:id="277951169">
          <w:marLeft w:val="0"/>
          <w:marRight w:val="0"/>
          <w:marTop w:val="0"/>
          <w:marBottom w:val="0"/>
          <w:divBdr>
            <w:top w:val="none" w:sz="0" w:space="0" w:color="auto"/>
            <w:left w:val="none" w:sz="0" w:space="0" w:color="auto"/>
            <w:bottom w:val="none" w:sz="0" w:space="0" w:color="auto"/>
            <w:right w:val="none" w:sz="0" w:space="0" w:color="auto"/>
          </w:divBdr>
        </w:div>
        <w:div w:id="277951172">
          <w:marLeft w:val="0"/>
          <w:marRight w:val="0"/>
          <w:marTop w:val="0"/>
          <w:marBottom w:val="0"/>
          <w:divBdr>
            <w:top w:val="none" w:sz="0" w:space="0" w:color="auto"/>
            <w:left w:val="none" w:sz="0" w:space="0" w:color="auto"/>
            <w:bottom w:val="none" w:sz="0" w:space="0" w:color="auto"/>
            <w:right w:val="none" w:sz="0" w:space="0" w:color="auto"/>
          </w:divBdr>
        </w:div>
        <w:div w:id="277951179">
          <w:marLeft w:val="0"/>
          <w:marRight w:val="0"/>
          <w:marTop w:val="0"/>
          <w:marBottom w:val="0"/>
          <w:divBdr>
            <w:top w:val="none" w:sz="0" w:space="0" w:color="auto"/>
            <w:left w:val="none" w:sz="0" w:space="0" w:color="auto"/>
            <w:bottom w:val="none" w:sz="0" w:space="0" w:color="auto"/>
            <w:right w:val="none" w:sz="0" w:space="0" w:color="auto"/>
          </w:divBdr>
        </w:div>
        <w:div w:id="277951184">
          <w:marLeft w:val="0"/>
          <w:marRight w:val="0"/>
          <w:marTop w:val="0"/>
          <w:marBottom w:val="0"/>
          <w:divBdr>
            <w:top w:val="none" w:sz="0" w:space="0" w:color="auto"/>
            <w:left w:val="none" w:sz="0" w:space="0" w:color="auto"/>
            <w:bottom w:val="none" w:sz="0" w:space="0" w:color="auto"/>
            <w:right w:val="none" w:sz="0" w:space="0" w:color="auto"/>
          </w:divBdr>
        </w:div>
        <w:div w:id="277951187">
          <w:marLeft w:val="0"/>
          <w:marRight w:val="0"/>
          <w:marTop w:val="0"/>
          <w:marBottom w:val="0"/>
          <w:divBdr>
            <w:top w:val="none" w:sz="0" w:space="0" w:color="auto"/>
            <w:left w:val="none" w:sz="0" w:space="0" w:color="auto"/>
            <w:bottom w:val="none" w:sz="0" w:space="0" w:color="auto"/>
            <w:right w:val="none" w:sz="0" w:space="0" w:color="auto"/>
          </w:divBdr>
        </w:div>
        <w:div w:id="277951189">
          <w:marLeft w:val="0"/>
          <w:marRight w:val="0"/>
          <w:marTop w:val="0"/>
          <w:marBottom w:val="0"/>
          <w:divBdr>
            <w:top w:val="none" w:sz="0" w:space="0" w:color="auto"/>
            <w:left w:val="none" w:sz="0" w:space="0" w:color="auto"/>
            <w:bottom w:val="none" w:sz="0" w:space="0" w:color="auto"/>
            <w:right w:val="none" w:sz="0" w:space="0" w:color="auto"/>
          </w:divBdr>
        </w:div>
        <w:div w:id="277951190">
          <w:marLeft w:val="0"/>
          <w:marRight w:val="0"/>
          <w:marTop w:val="0"/>
          <w:marBottom w:val="0"/>
          <w:divBdr>
            <w:top w:val="none" w:sz="0" w:space="0" w:color="auto"/>
            <w:left w:val="none" w:sz="0" w:space="0" w:color="auto"/>
            <w:bottom w:val="none" w:sz="0" w:space="0" w:color="auto"/>
            <w:right w:val="none" w:sz="0" w:space="0" w:color="auto"/>
          </w:divBdr>
        </w:div>
        <w:div w:id="277951191">
          <w:marLeft w:val="0"/>
          <w:marRight w:val="0"/>
          <w:marTop w:val="0"/>
          <w:marBottom w:val="0"/>
          <w:divBdr>
            <w:top w:val="none" w:sz="0" w:space="0" w:color="auto"/>
            <w:left w:val="none" w:sz="0" w:space="0" w:color="auto"/>
            <w:bottom w:val="none" w:sz="0" w:space="0" w:color="auto"/>
            <w:right w:val="none" w:sz="0" w:space="0" w:color="auto"/>
          </w:divBdr>
        </w:div>
        <w:div w:id="277951194">
          <w:marLeft w:val="0"/>
          <w:marRight w:val="0"/>
          <w:marTop w:val="0"/>
          <w:marBottom w:val="0"/>
          <w:divBdr>
            <w:top w:val="none" w:sz="0" w:space="0" w:color="auto"/>
            <w:left w:val="none" w:sz="0" w:space="0" w:color="auto"/>
            <w:bottom w:val="none" w:sz="0" w:space="0" w:color="auto"/>
            <w:right w:val="none" w:sz="0" w:space="0" w:color="auto"/>
          </w:divBdr>
        </w:div>
        <w:div w:id="277951196">
          <w:marLeft w:val="0"/>
          <w:marRight w:val="0"/>
          <w:marTop w:val="0"/>
          <w:marBottom w:val="0"/>
          <w:divBdr>
            <w:top w:val="none" w:sz="0" w:space="0" w:color="auto"/>
            <w:left w:val="none" w:sz="0" w:space="0" w:color="auto"/>
            <w:bottom w:val="none" w:sz="0" w:space="0" w:color="auto"/>
            <w:right w:val="none" w:sz="0" w:space="0" w:color="auto"/>
          </w:divBdr>
        </w:div>
        <w:div w:id="277951200">
          <w:marLeft w:val="0"/>
          <w:marRight w:val="0"/>
          <w:marTop w:val="0"/>
          <w:marBottom w:val="0"/>
          <w:divBdr>
            <w:top w:val="none" w:sz="0" w:space="0" w:color="auto"/>
            <w:left w:val="none" w:sz="0" w:space="0" w:color="auto"/>
            <w:bottom w:val="none" w:sz="0" w:space="0" w:color="auto"/>
            <w:right w:val="none" w:sz="0" w:space="0" w:color="auto"/>
          </w:divBdr>
        </w:div>
        <w:div w:id="277951206">
          <w:marLeft w:val="0"/>
          <w:marRight w:val="0"/>
          <w:marTop w:val="0"/>
          <w:marBottom w:val="0"/>
          <w:divBdr>
            <w:top w:val="none" w:sz="0" w:space="0" w:color="auto"/>
            <w:left w:val="none" w:sz="0" w:space="0" w:color="auto"/>
            <w:bottom w:val="none" w:sz="0" w:space="0" w:color="auto"/>
            <w:right w:val="none" w:sz="0" w:space="0" w:color="auto"/>
          </w:divBdr>
        </w:div>
        <w:div w:id="277951207">
          <w:marLeft w:val="0"/>
          <w:marRight w:val="0"/>
          <w:marTop w:val="0"/>
          <w:marBottom w:val="0"/>
          <w:divBdr>
            <w:top w:val="none" w:sz="0" w:space="0" w:color="auto"/>
            <w:left w:val="none" w:sz="0" w:space="0" w:color="auto"/>
            <w:bottom w:val="none" w:sz="0" w:space="0" w:color="auto"/>
            <w:right w:val="none" w:sz="0" w:space="0" w:color="auto"/>
          </w:divBdr>
        </w:div>
        <w:div w:id="277951208">
          <w:marLeft w:val="0"/>
          <w:marRight w:val="0"/>
          <w:marTop w:val="0"/>
          <w:marBottom w:val="0"/>
          <w:divBdr>
            <w:top w:val="none" w:sz="0" w:space="0" w:color="auto"/>
            <w:left w:val="none" w:sz="0" w:space="0" w:color="auto"/>
            <w:bottom w:val="none" w:sz="0" w:space="0" w:color="auto"/>
            <w:right w:val="none" w:sz="0" w:space="0" w:color="auto"/>
          </w:divBdr>
        </w:div>
        <w:div w:id="277951211">
          <w:marLeft w:val="0"/>
          <w:marRight w:val="0"/>
          <w:marTop w:val="0"/>
          <w:marBottom w:val="0"/>
          <w:divBdr>
            <w:top w:val="none" w:sz="0" w:space="0" w:color="auto"/>
            <w:left w:val="none" w:sz="0" w:space="0" w:color="auto"/>
            <w:bottom w:val="none" w:sz="0" w:space="0" w:color="auto"/>
            <w:right w:val="none" w:sz="0" w:space="0" w:color="auto"/>
          </w:divBdr>
        </w:div>
        <w:div w:id="277951217">
          <w:marLeft w:val="0"/>
          <w:marRight w:val="0"/>
          <w:marTop w:val="0"/>
          <w:marBottom w:val="0"/>
          <w:divBdr>
            <w:top w:val="none" w:sz="0" w:space="0" w:color="auto"/>
            <w:left w:val="none" w:sz="0" w:space="0" w:color="auto"/>
            <w:bottom w:val="none" w:sz="0" w:space="0" w:color="auto"/>
            <w:right w:val="none" w:sz="0" w:space="0" w:color="auto"/>
          </w:divBdr>
        </w:div>
        <w:div w:id="277951221">
          <w:marLeft w:val="0"/>
          <w:marRight w:val="0"/>
          <w:marTop w:val="0"/>
          <w:marBottom w:val="0"/>
          <w:divBdr>
            <w:top w:val="none" w:sz="0" w:space="0" w:color="auto"/>
            <w:left w:val="none" w:sz="0" w:space="0" w:color="auto"/>
            <w:bottom w:val="none" w:sz="0" w:space="0" w:color="auto"/>
            <w:right w:val="none" w:sz="0" w:space="0" w:color="auto"/>
          </w:divBdr>
        </w:div>
      </w:divsChild>
    </w:div>
    <w:div w:id="277951232">
      <w:marLeft w:val="0"/>
      <w:marRight w:val="0"/>
      <w:marTop w:val="0"/>
      <w:marBottom w:val="0"/>
      <w:divBdr>
        <w:top w:val="none" w:sz="0" w:space="0" w:color="auto"/>
        <w:left w:val="none" w:sz="0" w:space="0" w:color="auto"/>
        <w:bottom w:val="none" w:sz="0" w:space="0" w:color="auto"/>
        <w:right w:val="none" w:sz="0" w:space="0" w:color="auto"/>
      </w:divBdr>
      <w:divsChild>
        <w:div w:id="277951233">
          <w:marLeft w:val="0"/>
          <w:marRight w:val="0"/>
          <w:marTop w:val="0"/>
          <w:marBottom w:val="0"/>
          <w:divBdr>
            <w:top w:val="none" w:sz="0" w:space="0" w:color="auto"/>
            <w:left w:val="none" w:sz="0" w:space="0" w:color="auto"/>
            <w:bottom w:val="none" w:sz="0" w:space="0" w:color="auto"/>
            <w:right w:val="none" w:sz="0" w:space="0" w:color="auto"/>
          </w:divBdr>
          <w:divsChild>
            <w:div w:id="277951224">
              <w:marLeft w:val="0"/>
              <w:marRight w:val="0"/>
              <w:marTop w:val="0"/>
              <w:marBottom w:val="0"/>
              <w:divBdr>
                <w:top w:val="none" w:sz="0" w:space="0" w:color="auto"/>
                <w:left w:val="none" w:sz="0" w:space="0" w:color="auto"/>
                <w:bottom w:val="none" w:sz="0" w:space="0" w:color="auto"/>
                <w:right w:val="none" w:sz="0" w:space="0" w:color="auto"/>
              </w:divBdr>
              <w:divsChild>
                <w:div w:id="277951228">
                  <w:marLeft w:val="0"/>
                  <w:marRight w:val="0"/>
                  <w:marTop w:val="0"/>
                  <w:marBottom w:val="0"/>
                  <w:divBdr>
                    <w:top w:val="none" w:sz="0" w:space="0" w:color="auto"/>
                    <w:left w:val="none" w:sz="0" w:space="0" w:color="auto"/>
                    <w:bottom w:val="none" w:sz="0" w:space="0" w:color="auto"/>
                    <w:right w:val="none" w:sz="0" w:space="0" w:color="auto"/>
                  </w:divBdr>
                </w:div>
              </w:divsChild>
            </w:div>
            <w:div w:id="277951227">
              <w:marLeft w:val="0"/>
              <w:marRight w:val="0"/>
              <w:marTop w:val="0"/>
              <w:marBottom w:val="0"/>
              <w:divBdr>
                <w:top w:val="none" w:sz="0" w:space="0" w:color="auto"/>
                <w:left w:val="none" w:sz="0" w:space="0" w:color="auto"/>
                <w:bottom w:val="none" w:sz="0" w:space="0" w:color="auto"/>
                <w:right w:val="none" w:sz="0" w:space="0" w:color="auto"/>
              </w:divBdr>
              <w:divsChild>
                <w:div w:id="277951229">
                  <w:marLeft w:val="0"/>
                  <w:marRight w:val="0"/>
                  <w:marTop w:val="0"/>
                  <w:marBottom w:val="0"/>
                  <w:divBdr>
                    <w:top w:val="none" w:sz="0" w:space="0" w:color="auto"/>
                    <w:left w:val="none" w:sz="0" w:space="0" w:color="auto"/>
                    <w:bottom w:val="none" w:sz="0" w:space="0" w:color="auto"/>
                    <w:right w:val="none" w:sz="0" w:space="0" w:color="auto"/>
                  </w:divBdr>
                </w:div>
              </w:divsChild>
            </w:div>
            <w:div w:id="277951237">
              <w:marLeft w:val="0"/>
              <w:marRight w:val="0"/>
              <w:marTop w:val="0"/>
              <w:marBottom w:val="0"/>
              <w:divBdr>
                <w:top w:val="none" w:sz="0" w:space="0" w:color="auto"/>
                <w:left w:val="none" w:sz="0" w:space="0" w:color="auto"/>
                <w:bottom w:val="none" w:sz="0" w:space="0" w:color="auto"/>
                <w:right w:val="none" w:sz="0" w:space="0" w:color="auto"/>
              </w:divBdr>
            </w:div>
            <w:div w:id="277951238">
              <w:marLeft w:val="0"/>
              <w:marRight w:val="0"/>
              <w:marTop w:val="0"/>
              <w:marBottom w:val="0"/>
              <w:divBdr>
                <w:top w:val="none" w:sz="0" w:space="0" w:color="auto"/>
                <w:left w:val="none" w:sz="0" w:space="0" w:color="auto"/>
                <w:bottom w:val="none" w:sz="0" w:space="0" w:color="auto"/>
                <w:right w:val="none" w:sz="0" w:space="0" w:color="auto"/>
              </w:divBdr>
              <w:divsChild>
                <w:div w:id="277951252">
                  <w:marLeft w:val="0"/>
                  <w:marRight w:val="0"/>
                  <w:marTop w:val="0"/>
                  <w:marBottom w:val="0"/>
                  <w:divBdr>
                    <w:top w:val="none" w:sz="0" w:space="0" w:color="auto"/>
                    <w:left w:val="none" w:sz="0" w:space="0" w:color="auto"/>
                    <w:bottom w:val="none" w:sz="0" w:space="0" w:color="auto"/>
                    <w:right w:val="none" w:sz="0" w:space="0" w:color="auto"/>
                  </w:divBdr>
                </w:div>
              </w:divsChild>
            </w:div>
            <w:div w:id="277951241">
              <w:marLeft w:val="0"/>
              <w:marRight w:val="0"/>
              <w:marTop w:val="0"/>
              <w:marBottom w:val="0"/>
              <w:divBdr>
                <w:top w:val="none" w:sz="0" w:space="0" w:color="auto"/>
                <w:left w:val="none" w:sz="0" w:space="0" w:color="auto"/>
                <w:bottom w:val="none" w:sz="0" w:space="0" w:color="auto"/>
                <w:right w:val="none" w:sz="0" w:space="0" w:color="auto"/>
              </w:divBdr>
              <w:divsChild>
                <w:div w:id="277951246">
                  <w:marLeft w:val="0"/>
                  <w:marRight w:val="0"/>
                  <w:marTop w:val="0"/>
                  <w:marBottom w:val="0"/>
                  <w:divBdr>
                    <w:top w:val="none" w:sz="0" w:space="0" w:color="auto"/>
                    <w:left w:val="none" w:sz="0" w:space="0" w:color="auto"/>
                    <w:bottom w:val="none" w:sz="0" w:space="0" w:color="auto"/>
                    <w:right w:val="none" w:sz="0" w:space="0" w:color="auto"/>
                  </w:divBdr>
                </w:div>
              </w:divsChild>
            </w:div>
            <w:div w:id="277951242">
              <w:marLeft w:val="0"/>
              <w:marRight w:val="0"/>
              <w:marTop w:val="0"/>
              <w:marBottom w:val="0"/>
              <w:divBdr>
                <w:top w:val="none" w:sz="0" w:space="0" w:color="auto"/>
                <w:left w:val="none" w:sz="0" w:space="0" w:color="auto"/>
                <w:bottom w:val="none" w:sz="0" w:space="0" w:color="auto"/>
                <w:right w:val="none" w:sz="0" w:space="0" w:color="auto"/>
              </w:divBdr>
              <w:divsChild>
                <w:div w:id="277951247">
                  <w:marLeft w:val="0"/>
                  <w:marRight w:val="0"/>
                  <w:marTop w:val="0"/>
                  <w:marBottom w:val="0"/>
                  <w:divBdr>
                    <w:top w:val="none" w:sz="0" w:space="0" w:color="auto"/>
                    <w:left w:val="none" w:sz="0" w:space="0" w:color="auto"/>
                    <w:bottom w:val="none" w:sz="0" w:space="0" w:color="auto"/>
                    <w:right w:val="none" w:sz="0" w:space="0" w:color="auto"/>
                  </w:divBdr>
                </w:div>
              </w:divsChild>
            </w:div>
            <w:div w:id="277951243">
              <w:marLeft w:val="0"/>
              <w:marRight w:val="0"/>
              <w:marTop w:val="0"/>
              <w:marBottom w:val="0"/>
              <w:divBdr>
                <w:top w:val="none" w:sz="0" w:space="0" w:color="auto"/>
                <w:left w:val="none" w:sz="0" w:space="0" w:color="auto"/>
                <w:bottom w:val="none" w:sz="0" w:space="0" w:color="auto"/>
                <w:right w:val="none" w:sz="0" w:space="0" w:color="auto"/>
              </w:divBdr>
              <w:divsChild>
                <w:div w:id="277951234">
                  <w:marLeft w:val="0"/>
                  <w:marRight w:val="0"/>
                  <w:marTop w:val="0"/>
                  <w:marBottom w:val="0"/>
                  <w:divBdr>
                    <w:top w:val="none" w:sz="0" w:space="0" w:color="auto"/>
                    <w:left w:val="none" w:sz="0" w:space="0" w:color="auto"/>
                    <w:bottom w:val="none" w:sz="0" w:space="0" w:color="auto"/>
                    <w:right w:val="none" w:sz="0" w:space="0" w:color="auto"/>
                  </w:divBdr>
                </w:div>
              </w:divsChild>
            </w:div>
            <w:div w:id="277951251">
              <w:marLeft w:val="0"/>
              <w:marRight w:val="0"/>
              <w:marTop w:val="0"/>
              <w:marBottom w:val="0"/>
              <w:divBdr>
                <w:top w:val="none" w:sz="0" w:space="0" w:color="auto"/>
                <w:left w:val="none" w:sz="0" w:space="0" w:color="auto"/>
                <w:bottom w:val="none" w:sz="0" w:space="0" w:color="auto"/>
                <w:right w:val="none" w:sz="0" w:space="0" w:color="auto"/>
              </w:divBdr>
              <w:divsChild>
                <w:div w:id="277951239">
                  <w:marLeft w:val="0"/>
                  <w:marRight w:val="0"/>
                  <w:marTop w:val="0"/>
                  <w:marBottom w:val="0"/>
                  <w:divBdr>
                    <w:top w:val="none" w:sz="0" w:space="0" w:color="auto"/>
                    <w:left w:val="none" w:sz="0" w:space="0" w:color="auto"/>
                    <w:bottom w:val="none" w:sz="0" w:space="0" w:color="auto"/>
                    <w:right w:val="none" w:sz="0" w:space="0" w:color="auto"/>
                  </w:divBdr>
                </w:div>
              </w:divsChild>
            </w:div>
            <w:div w:id="277951253">
              <w:marLeft w:val="0"/>
              <w:marRight w:val="0"/>
              <w:marTop w:val="0"/>
              <w:marBottom w:val="0"/>
              <w:divBdr>
                <w:top w:val="none" w:sz="0" w:space="0" w:color="auto"/>
                <w:left w:val="none" w:sz="0" w:space="0" w:color="auto"/>
                <w:bottom w:val="none" w:sz="0" w:space="0" w:color="auto"/>
                <w:right w:val="none" w:sz="0" w:space="0" w:color="auto"/>
              </w:divBdr>
              <w:divsChild>
                <w:div w:id="277951225">
                  <w:marLeft w:val="0"/>
                  <w:marRight w:val="0"/>
                  <w:marTop w:val="0"/>
                  <w:marBottom w:val="0"/>
                  <w:divBdr>
                    <w:top w:val="none" w:sz="0" w:space="0" w:color="auto"/>
                    <w:left w:val="none" w:sz="0" w:space="0" w:color="auto"/>
                    <w:bottom w:val="none" w:sz="0" w:space="0" w:color="auto"/>
                    <w:right w:val="none" w:sz="0" w:space="0" w:color="auto"/>
                  </w:divBdr>
                </w:div>
              </w:divsChild>
            </w:div>
            <w:div w:id="277951254">
              <w:marLeft w:val="0"/>
              <w:marRight w:val="0"/>
              <w:marTop w:val="0"/>
              <w:marBottom w:val="0"/>
              <w:divBdr>
                <w:top w:val="none" w:sz="0" w:space="0" w:color="auto"/>
                <w:left w:val="none" w:sz="0" w:space="0" w:color="auto"/>
                <w:bottom w:val="none" w:sz="0" w:space="0" w:color="auto"/>
                <w:right w:val="none" w:sz="0" w:space="0" w:color="auto"/>
              </w:divBdr>
              <w:divsChild>
                <w:div w:id="277951230">
                  <w:marLeft w:val="0"/>
                  <w:marRight w:val="0"/>
                  <w:marTop w:val="0"/>
                  <w:marBottom w:val="0"/>
                  <w:divBdr>
                    <w:top w:val="none" w:sz="0" w:space="0" w:color="auto"/>
                    <w:left w:val="none" w:sz="0" w:space="0" w:color="auto"/>
                    <w:bottom w:val="none" w:sz="0" w:space="0" w:color="auto"/>
                    <w:right w:val="none" w:sz="0" w:space="0" w:color="auto"/>
                  </w:divBdr>
                </w:div>
                <w:div w:id="2779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245">
          <w:marLeft w:val="0"/>
          <w:marRight w:val="0"/>
          <w:marTop w:val="0"/>
          <w:marBottom w:val="0"/>
          <w:divBdr>
            <w:top w:val="none" w:sz="0" w:space="0" w:color="auto"/>
            <w:left w:val="none" w:sz="0" w:space="0" w:color="auto"/>
            <w:bottom w:val="none" w:sz="0" w:space="0" w:color="auto"/>
            <w:right w:val="none" w:sz="0" w:space="0" w:color="auto"/>
          </w:divBdr>
          <w:divsChild>
            <w:div w:id="277951226">
              <w:marLeft w:val="0"/>
              <w:marRight w:val="0"/>
              <w:marTop w:val="0"/>
              <w:marBottom w:val="0"/>
              <w:divBdr>
                <w:top w:val="none" w:sz="0" w:space="0" w:color="auto"/>
                <w:left w:val="none" w:sz="0" w:space="0" w:color="auto"/>
                <w:bottom w:val="none" w:sz="0" w:space="0" w:color="auto"/>
                <w:right w:val="none" w:sz="0" w:space="0" w:color="auto"/>
              </w:divBdr>
            </w:div>
            <w:div w:id="277951248">
              <w:marLeft w:val="0"/>
              <w:marRight w:val="0"/>
              <w:marTop w:val="0"/>
              <w:marBottom w:val="0"/>
              <w:divBdr>
                <w:top w:val="none" w:sz="0" w:space="0" w:color="auto"/>
                <w:left w:val="none" w:sz="0" w:space="0" w:color="auto"/>
                <w:bottom w:val="none" w:sz="0" w:space="0" w:color="auto"/>
                <w:right w:val="none" w:sz="0" w:space="0" w:color="auto"/>
              </w:divBdr>
              <w:divsChild>
                <w:div w:id="2779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249">
          <w:marLeft w:val="0"/>
          <w:marRight w:val="0"/>
          <w:marTop w:val="0"/>
          <w:marBottom w:val="0"/>
          <w:divBdr>
            <w:top w:val="none" w:sz="0" w:space="0" w:color="auto"/>
            <w:left w:val="none" w:sz="0" w:space="0" w:color="auto"/>
            <w:bottom w:val="none" w:sz="0" w:space="0" w:color="auto"/>
            <w:right w:val="none" w:sz="0" w:space="0" w:color="auto"/>
          </w:divBdr>
        </w:div>
      </w:divsChild>
    </w:div>
    <w:div w:id="277951235">
      <w:marLeft w:val="0"/>
      <w:marRight w:val="0"/>
      <w:marTop w:val="0"/>
      <w:marBottom w:val="0"/>
      <w:divBdr>
        <w:top w:val="none" w:sz="0" w:space="0" w:color="auto"/>
        <w:left w:val="none" w:sz="0" w:space="0" w:color="auto"/>
        <w:bottom w:val="none" w:sz="0" w:space="0" w:color="auto"/>
        <w:right w:val="none" w:sz="0" w:space="0" w:color="auto"/>
      </w:divBdr>
      <w:divsChild>
        <w:div w:id="277951244">
          <w:marLeft w:val="0"/>
          <w:marRight w:val="0"/>
          <w:marTop w:val="0"/>
          <w:marBottom w:val="0"/>
          <w:divBdr>
            <w:top w:val="none" w:sz="0" w:space="0" w:color="auto"/>
            <w:left w:val="none" w:sz="0" w:space="0" w:color="auto"/>
            <w:bottom w:val="none" w:sz="0" w:space="0" w:color="auto"/>
            <w:right w:val="none" w:sz="0" w:space="0" w:color="auto"/>
          </w:divBdr>
        </w:div>
      </w:divsChild>
    </w:div>
    <w:div w:id="277951240">
      <w:marLeft w:val="0"/>
      <w:marRight w:val="0"/>
      <w:marTop w:val="0"/>
      <w:marBottom w:val="0"/>
      <w:divBdr>
        <w:top w:val="none" w:sz="0" w:space="0" w:color="auto"/>
        <w:left w:val="none" w:sz="0" w:space="0" w:color="auto"/>
        <w:bottom w:val="none" w:sz="0" w:space="0" w:color="auto"/>
        <w:right w:val="none" w:sz="0" w:space="0" w:color="auto"/>
      </w:divBdr>
    </w:div>
    <w:div w:id="277951250">
      <w:marLeft w:val="0"/>
      <w:marRight w:val="0"/>
      <w:marTop w:val="0"/>
      <w:marBottom w:val="0"/>
      <w:divBdr>
        <w:top w:val="none" w:sz="0" w:space="0" w:color="auto"/>
        <w:left w:val="none" w:sz="0" w:space="0" w:color="auto"/>
        <w:bottom w:val="none" w:sz="0" w:space="0" w:color="auto"/>
        <w:right w:val="none" w:sz="0" w:space="0" w:color="auto"/>
      </w:divBdr>
    </w:div>
    <w:div w:id="612708474">
      <w:bodyDiv w:val="1"/>
      <w:marLeft w:val="0"/>
      <w:marRight w:val="0"/>
      <w:marTop w:val="0"/>
      <w:marBottom w:val="0"/>
      <w:divBdr>
        <w:top w:val="none" w:sz="0" w:space="0" w:color="auto"/>
        <w:left w:val="none" w:sz="0" w:space="0" w:color="auto"/>
        <w:bottom w:val="none" w:sz="0" w:space="0" w:color="auto"/>
        <w:right w:val="none" w:sz="0" w:space="0" w:color="auto"/>
      </w:divBdr>
      <w:divsChild>
        <w:div w:id="380327774">
          <w:marLeft w:val="0"/>
          <w:marRight w:val="0"/>
          <w:marTop w:val="0"/>
          <w:marBottom w:val="0"/>
          <w:divBdr>
            <w:top w:val="none" w:sz="0" w:space="0" w:color="auto"/>
            <w:left w:val="none" w:sz="0" w:space="0" w:color="auto"/>
            <w:bottom w:val="none" w:sz="0" w:space="0" w:color="auto"/>
            <w:right w:val="none" w:sz="0" w:space="0" w:color="auto"/>
          </w:divBdr>
        </w:div>
        <w:div w:id="1611427525">
          <w:marLeft w:val="0"/>
          <w:marRight w:val="0"/>
          <w:marTop w:val="0"/>
          <w:marBottom w:val="0"/>
          <w:divBdr>
            <w:top w:val="none" w:sz="0" w:space="0" w:color="auto"/>
            <w:left w:val="none" w:sz="0" w:space="0" w:color="auto"/>
            <w:bottom w:val="none" w:sz="0" w:space="0" w:color="auto"/>
            <w:right w:val="none" w:sz="0" w:space="0" w:color="auto"/>
          </w:divBdr>
        </w:div>
        <w:div w:id="337540308">
          <w:marLeft w:val="0"/>
          <w:marRight w:val="0"/>
          <w:marTop w:val="0"/>
          <w:marBottom w:val="0"/>
          <w:divBdr>
            <w:top w:val="none" w:sz="0" w:space="0" w:color="auto"/>
            <w:left w:val="none" w:sz="0" w:space="0" w:color="auto"/>
            <w:bottom w:val="none" w:sz="0" w:space="0" w:color="auto"/>
            <w:right w:val="none" w:sz="0" w:space="0" w:color="auto"/>
          </w:divBdr>
        </w:div>
      </w:divsChild>
    </w:div>
    <w:div w:id="924611228">
      <w:bodyDiv w:val="1"/>
      <w:marLeft w:val="0"/>
      <w:marRight w:val="0"/>
      <w:marTop w:val="0"/>
      <w:marBottom w:val="0"/>
      <w:divBdr>
        <w:top w:val="none" w:sz="0" w:space="0" w:color="auto"/>
        <w:left w:val="none" w:sz="0" w:space="0" w:color="auto"/>
        <w:bottom w:val="none" w:sz="0" w:space="0" w:color="auto"/>
        <w:right w:val="none" w:sz="0" w:space="0" w:color="auto"/>
      </w:divBdr>
    </w:div>
    <w:div w:id="1082726246">
      <w:bodyDiv w:val="1"/>
      <w:marLeft w:val="0"/>
      <w:marRight w:val="0"/>
      <w:marTop w:val="0"/>
      <w:marBottom w:val="0"/>
      <w:divBdr>
        <w:top w:val="none" w:sz="0" w:space="0" w:color="auto"/>
        <w:left w:val="none" w:sz="0" w:space="0" w:color="auto"/>
        <w:bottom w:val="none" w:sz="0" w:space="0" w:color="auto"/>
        <w:right w:val="none" w:sz="0" w:space="0" w:color="auto"/>
      </w:divBdr>
    </w:div>
    <w:div w:id="1090008459">
      <w:bodyDiv w:val="1"/>
      <w:marLeft w:val="0"/>
      <w:marRight w:val="0"/>
      <w:marTop w:val="0"/>
      <w:marBottom w:val="0"/>
      <w:divBdr>
        <w:top w:val="none" w:sz="0" w:space="0" w:color="auto"/>
        <w:left w:val="none" w:sz="0" w:space="0" w:color="auto"/>
        <w:bottom w:val="none" w:sz="0" w:space="0" w:color="auto"/>
        <w:right w:val="none" w:sz="0" w:space="0" w:color="auto"/>
      </w:divBdr>
    </w:div>
    <w:div w:id="1155875519">
      <w:bodyDiv w:val="1"/>
      <w:marLeft w:val="0"/>
      <w:marRight w:val="0"/>
      <w:marTop w:val="0"/>
      <w:marBottom w:val="0"/>
      <w:divBdr>
        <w:top w:val="none" w:sz="0" w:space="0" w:color="auto"/>
        <w:left w:val="none" w:sz="0" w:space="0" w:color="auto"/>
        <w:bottom w:val="none" w:sz="0" w:space="0" w:color="auto"/>
        <w:right w:val="none" w:sz="0" w:space="0" w:color="auto"/>
      </w:divBdr>
    </w:div>
    <w:div w:id="15144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2F0022-3514.67.2.3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2Fj.neubiorev.2004.03.0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16%2Fj.jrp.2009.02.007" TargetMode="External"/><Relationship Id="rId4" Type="http://schemas.openxmlformats.org/officeDocument/2006/relationships/settings" Target="settings.xml"/><Relationship Id="rId9" Type="http://schemas.openxmlformats.org/officeDocument/2006/relationships/hyperlink" Target="http://dx.doi.org/10.1016%2Fj.neubiorev.2012.09.0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4790-DDF7-4E2F-ACEC-81F13E5B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5934</Words>
  <Characters>33828</Characters>
  <Application>Microsoft Office Word</Application>
  <DocSecurity>0</DocSecurity>
  <Lines>281</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Scale Development</vt:lpstr>
      <vt:lpstr>Scale Development</vt:lpstr>
    </vt:vector>
  </TitlesOfParts>
  <Company>Goldsmiths</Company>
  <LinksUpToDate>false</LinksUpToDate>
  <CharactersWithSpaces>39683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 Development</dc:title>
  <dc:creator>Andrew Cooper</dc:creator>
  <cp:lastModifiedBy>Corr, Philip</cp:lastModifiedBy>
  <cp:revision>2</cp:revision>
  <cp:lastPrinted>2017-02-14T21:51:00Z</cp:lastPrinted>
  <dcterms:created xsi:type="dcterms:W3CDTF">2017-09-15T06:48:00Z</dcterms:created>
  <dcterms:modified xsi:type="dcterms:W3CDTF">2017-09-15T06:48:00Z</dcterms:modified>
</cp:coreProperties>
</file>